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4E08" w14:textId="5FFCF2C5" w:rsidR="00D47D24" w:rsidRDefault="00D47D24" w:rsidP="00D47D24">
      <w:r>
        <w:rPr>
          <w:noProof/>
          <w:lang w:eastAsia="en-GB"/>
        </w:rPr>
        <w:drawing>
          <wp:inline distT="0" distB="0" distL="0" distR="0" wp14:anchorId="08097FC9" wp14:editId="2EBD0101">
            <wp:extent cx="2488759" cy="436624"/>
            <wp:effectExtent l="0" t="0" r="6985" b="1905"/>
            <wp:docPr id="7" name="Picture 7"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258" cy="446185"/>
                    </a:xfrm>
                    <a:prstGeom prst="rect">
                      <a:avLst/>
                    </a:prstGeom>
                    <a:noFill/>
                    <a:ln>
                      <a:noFill/>
                    </a:ln>
                  </pic:spPr>
                </pic:pic>
              </a:graphicData>
            </a:graphic>
          </wp:inline>
        </w:drawing>
      </w:r>
    </w:p>
    <w:p w14:paraId="20A26B6A" w14:textId="77777777" w:rsidR="00D47D24" w:rsidRPr="00D47D24" w:rsidRDefault="00D47D24" w:rsidP="00D47D24">
      <w:pPr>
        <w:rPr>
          <w:b/>
          <w:sz w:val="24"/>
          <w:szCs w:val="24"/>
        </w:rPr>
      </w:pPr>
      <w:r w:rsidRPr="00D47D24">
        <w:rPr>
          <w:b/>
          <w:sz w:val="24"/>
          <w:szCs w:val="24"/>
        </w:rPr>
        <w:t>21 February 2020</w:t>
      </w:r>
    </w:p>
    <w:p w14:paraId="6F253F6A" w14:textId="77777777" w:rsidR="003D1BD9" w:rsidRDefault="003D1BD9" w:rsidP="00D47D24">
      <w:pPr>
        <w:pStyle w:val="FSTitle"/>
      </w:pPr>
    </w:p>
    <w:p w14:paraId="2967B652" w14:textId="76CB450F" w:rsidR="00D47D24" w:rsidRDefault="00D47D24" w:rsidP="00D47D24">
      <w:pPr>
        <w:pStyle w:val="FSTitle"/>
      </w:pPr>
      <w:r>
        <w:t xml:space="preserve">Discussion paper – Proposal P1053: Food safety management tools for the food service and closely related retail sectors </w:t>
      </w:r>
    </w:p>
    <w:p w14:paraId="0753C811" w14:textId="77777777" w:rsidR="00D47D24" w:rsidRPr="00E81F6E" w:rsidRDefault="00D47D24" w:rsidP="00D47D24">
      <w:pPr>
        <w:pBdr>
          <w:bottom w:val="single" w:sz="12" w:space="1" w:color="auto"/>
        </w:pBdr>
        <w:spacing w:line="280" w:lineRule="exact"/>
        <w:rPr>
          <w:rFonts w:cs="Arial"/>
          <w:bCs/>
        </w:rPr>
      </w:pPr>
    </w:p>
    <w:p w14:paraId="736F3B54" w14:textId="59681F39" w:rsidR="00700A3D" w:rsidRDefault="00700A3D" w:rsidP="009450ED">
      <w:r>
        <w:t>Overall, Australia has a strong food safety management system in place</w:t>
      </w:r>
      <w:r w:rsidR="00906AA4">
        <w:t>,</w:t>
      </w:r>
      <w:r>
        <w:t xml:space="preserve"> which ensures a safe food supply. However, foodborne illness continues to be a concern. </w:t>
      </w:r>
    </w:p>
    <w:p w14:paraId="0D43F3E3" w14:textId="77777777" w:rsidR="00700A3D" w:rsidRDefault="00700A3D" w:rsidP="009450ED">
      <w:r>
        <w:t>In June 2018, Ministers</w:t>
      </w:r>
      <w:r>
        <w:rPr>
          <w:rStyle w:val="FootnoteReference"/>
        </w:rPr>
        <w:footnoteReference w:id="2"/>
      </w:r>
      <w:r>
        <w:t xml:space="preserve"> proposed a package of food safety management tools intended to strengthen food safety in the food service and closely related retail sectors. Ministers then referred these proposed tools or regulatory options to Food Standards Australia New Zealand (FSANZ) for its assessment.</w:t>
      </w:r>
    </w:p>
    <w:p w14:paraId="02F01460" w14:textId="7FDD514E" w:rsidR="00700A3D" w:rsidRDefault="00700A3D" w:rsidP="009450ED">
      <w:r>
        <w:t>FSANZ has prepared Proposal P1053 to consider whether to amend the Australia New Zealand Food Standards Code (Code) to mandate the use of these food safety management tools in the fo</w:t>
      </w:r>
      <w:r w:rsidR="003D1BD9">
        <w:t>od service and retail sector.</w:t>
      </w:r>
    </w:p>
    <w:p w14:paraId="4F4A503C" w14:textId="450AB6E8" w:rsidR="00700A3D" w:rsidRPr="003D1BD9" w:rsidRDefault="00700A3D" w:rsidP="009450ED">
      <w:pPr>
        <w:rPr>
          <w:color w:val="000000" w:themeColor="text1"/>
        </w:rPr>
      </w:pPr>
      <w:r>
        <w:t>The purpose of this paper is to seek views from stakeholders in relation to these food safety management tools and whether or not the Code should be amended to mandate their use. In particular</w:t>
      </w:r>
      <w:r w:rsidR="00906AA4">
        <w:t>,</w:t>
      </w:r>
      <w:r>
        <w:t xml:space="preserve"> we would welcome information on the potential impacts (positive and negative) on businesses of mandating these measures</w:t>
      </w:r>
      <w:r w:rsidR="007100A2">
        <w:t>, including views on whether and how these tools – if mandated - will improve food safety outcomes</w:t>
      </w:r>
      <w:r>
        <w:t xml:space="preserve">. We are also seeking information to better understand the gap between current </w:t>
      </w:r>
      <w:r w:rsidRPr="003D1BD9">
        <w:rPr>
          <w:color w:val="000000" w:themeColor="text1"/>
        </w:rPr>
        <w:t>practice and the tools proposed by Ministers. The information will contribute to our consideration of costs, benefits, appropriateness and other criteria in the assessment of this Proposal.</w:t>
      </w:r>
    </w:p>
    <w:p w14:paraId="70F4F1D3" w14:textId="109F9D65" w:rsidR="00700A3D" w:rsidRDefault="00700A3D" w:rsidP="009450ED">
      <w:r w:rsidRPr="003D1BD9">
        <w:rPr>
          <w:color w:val="000000" w:themeColor="text1"/>
        </w:rPr>
        <w:t xml:space="preserve">In the event that FSANZ decides that the Code should be amended and prepares draft variations to the Code, there will be an opportunity to </w:t>
      </w:r>
      <w:r>
        <w:t xml:space="preserve">provide further feedback on </w:t>
      </w:r>
      <w:r w:rsidR="007100A2">
        <w:t xml:space="preserve">that decision and on </w:t>
      </w:r>
      <w:r>
        <w:t xml:space="preserve">those draft variations through a Call For Submission report (CFS).  </w:t>
      </w:r>
    </w:p>
    <w:p w14:paraId="7FEE2F4C" w14:textId="757BE990" w:rsidR="00700A3D" w:rsidRDefault="00700A3D" w:rsidP="009450ED">
      <w:pPr>
        <w:rPr>
          <w:b/>
        </w:rPr>
      </w:pPr>
      <w:r>
        <w:t xml:space="preserve">FSANZ will be accepting submissions on this discussion paper using the </w:t>
      </w:r>
      <w:hyperlink r:id="rId13" w:history="1">
        <w:r>
          <w:rPr>
            <w:rStyle w:val="Hyperlink"/>
          </w:rPr>
          <w:t>procedure outlined on our website</w:t>
        </w:r>
      </w:hyperlink>
      <w:r>
        <w:t>. Submissions in response to this discussion paper will not be published on our website</w:t>
      </w:r>
      <w:r w:rsidR="00906AA4">
        <w:t>;</w:t>
      </w:r>
      <w:r>
        <w:t xml:space="preserve"> however </w:t>
      </w:r>
      <w:r w:rsidR="00906AA4">
        <w:t xml:space="preserve">they </w:t>
      </w:r>
      <w:r>
        <w:t>may be used in future reports, such as the CFS.</w:t>
      </w:r>
    </w:p>
    <w:p w14:paraId="6F997C5B" w14:textId="7E05D521" w:rsidR="00700A3D" w:rsidRDefault="00700A3D" w:rsidP="009450ED">
      <w:pPr>
        <w:rPr>
          <w:b/>
        </w:rPr>
      </w:pPr>
      <w:r>
        <w:rPr>
          <w:b/>
        </w:rPr>
        <w:t xml:space="preserve">Deadline for comments is: </w:t>
      </w:r>
      <w:r w:rsidR="003D1BD9">
        <w:rPr>
          <w:b/>
        </w:rPr>
        <w:t xml:space="preserve">6pm (Canberra time) Friday, </w:t>
      </w:r>
      <w:r w:rsidR="003F422F">
        <w:rPr>
          <w:b/>
        </w:rPr>
        <w:t>27</w:t>
      </w:r>
      <w:bookmarkStart w:id="0" w:name="_GoBack"/>
      <w:bookmarkEnd w:id="0"/>
      <w:r w:rsidR="00623ECD">
        <w:rPr>
          <w:b/>
        </w:rPr>
        <w:t xml:space="preserve"> March 2020</w:t>
      </w:r>
    </w:p>
    <w:p w14:paraId="1310B082" w14:textId="0A55BA07" w:rsidR="003F422F" w:rsidRDefault="003F422F" w:rsidP="009450ED">
      <w:pPr>
        <w:rPr>
          <w:b/>
        </w:rPr>
      </w:pPr>
      <w:r w:rsidRPr="003F422F">
        <w:rPr>
          <w:b/>
          <w:bCs/>
          <w:lang w:val="en-AU"/>
        </w:rPr>
        <w:t>Please note the deadline has been extended from th</w:t>
      </w:r>
      <w:r>
        <w:rPr>
          <w:b/>
          <w:bCs/>
          <w:lang w:val="en-AU"/>
        </w:rPr>
        <w:t>e previous date of 20 March 2020.</w:t>
      </w:r>
    </w:p>
    <w:p w14:paraId="6E4491BD" w14:textId="75385115" w:rsidR="00700A3D" w:rsidRPr="00D47D24" w:rsidRDefault="00700A3D" w:rsidP="009450ED">
      <w:pPr>
        <w:rPr>
          <w:color w:val="000000"/>
          <w:sz w:val="20"/>
          <w:lang w:val="en-AU"/>
        </w:rPr>
      </w:pPr>
      <w:r w:rsidRPr="00D47D24">
        <w:rPr>
          <w:color w:val="000000"/>
          <w:sz w:val="20"/>
          <w:lang w:val="en-AU"/>
        </w:rPr>
        <w:t>Comments can be made in writing</w:t>
      </w:r>
      <w:r w:rsidR="00906AA4" w:rsidRPr="00D47D24">
        <w:rPr>
          <w:color w:val="000000"/>
          <w:sz w:val="20"/>
          <w:lang w:val="en-AU"/>
        </w:rPr>
        <w:t>,</w:t>
      </w:r>
      <w:r w:rsidRPr="00D47D24">
        <w:rPr>
          <w:color w:val="000000"/>
          <w:sz w:val="20"/>
          <w:lang w:val="en-AU"/>
        </w:rPr>
        <w:t xml:space="preserve"> marked clearly with the words ‘Comments on P1053 discussion paper’. Please send any comments you may have to </w:t>
      </w:r>
      <w:hyperlink r:id="rId14" w:history="1">
        <w:r w:rsidRPr="00D47D24">
          <w:rPr>
            <w:rStyle w:val="Hyperlink"/>
            <w:rFonts w:cs="Arial"/>
            <w:sz w:val="20"/>
            <w:lang w:val="en-AU"/>
          </w:rPr>
          <w:t>submissions@foodstandards.gov.au</w:t>
        </w:r>
      </w:hyperlink>
      <w:r w:rsidRPr="00D47D24">
        <w:rPr>
          <w:color w:val="000000"/>
          <w:sz w:val="20"/>
          <w:lang w:val="en-AU"/>
        </w:rPr>
        <w:t xml:space="preserve">.  </w:t>
      </w:r>
    </w:p>
    <w:p w14:paraId="5797E20A" w14:textId="77777777" w:rsidR="00700A3D" w:rsidRPr="00D47D24" w:rsidRDefault="00700A3D" w:rsidP="009450ED">
      <w:pPr>
        <w:rPr>
          <w:sz w:val="20"/>
          <w:lang w:val="en-AU"/>
        </w:rPr>
      </w:pPr>
      <w:r w:rsidRPr="00D47D24">
        <w:rPr>
          <w:sz w:val="20"/>
          <w:lang w:val="en-AU"/>
        </w:rPr>
        <w:t>For those wishing to submit comments in hard copy form, please send them to the following address:</w:t>
      </w:r>
    </w:p>
    <w:p w14:paraId="78C78680" w14:textId="77777777" w:rsidR="00700A3D" w:rsidRPr="00D47D24" w:rsidRDefault="00700A3D" w:rsidP="009450ED">
      <w:pPr>
        <w:spacing w:before="0" w:after="0"/>
        <w:rPr>
          <w:sz w:val="18"/>
        </w:rPr>
      </w:pPr>
      <w:r w:rsidRPr="00D47D24">
        <w:rPr>
          <w:sz w:val="18"/>
        </w:rPr>
        <w:t>Food Standards Australia New Zealand</w:t>
      </w:r>
      <w:r w:rsidRPr="00D47D24">
        <w:rPr>
          <w:sz w:val="18"/>
        </w:rPr>
        <w:tab/>
      </w:r>
      <w:r w:rsidRPr="00D47D24">
        <w:rPr>
          <w:sz w:val="18"/>
        </w:rPr>
        <w:tab/>
      </w:r>
    </w:p>
    <w:p w14:paraId="197FD9C8" w14:textId="77777777" w:rsidR="00700A3D" w:rsidRPr="00D47D24" w:rsidRDefault="00700A3D" w:rsidP="009450ED">
      <w:pPr>
        <w:spacing w:before="0" w:after="0"/>
        <w:rPr>
          <w:sz w:val="18"/>
        </w:rPr>
      </w:pPr>
      <w:r w:rsidRPr="00D47D24">
        <w:rPr>
          <w:sz w:val="18"/>
        </w:rPr>
        <w:t>PO Box 5423</w:t>
      </w:r>
      <w:r w:rsidRPr="00D47D24">
        <w:rPr>
          <w:sz w:val="18"/>
        </w:rPr>
        <w:tab/>
      </w:r>
      <w:r w:rsidRPr="00D47D24">
        <w:rPr>
          <w:sz w:val="18"/>
        </w:rPr>
        <w:tab/>
      </w:r>
    </w:p>
    <w:p w14:paraId="58D29C1B" w14:textId="77777777" w:rsidR="00700A3D" w:rsidRPr="00D47D24" w:rsidRDefault="00700A3D" w:rsidP="009450ED">
      <w:pPr>
        <w:spacing w:before="0" w:after="0"/>
        <w:rPr>
          <w:sz w:val="18"/>
        </w:rPr>
      </w:pPr>
      <w:r w:rsidRPr="00D47D24">
        <w:rPr>
          <w:sz w:val="18"/>
        </w:rPr>
        <w:t>KINGSTON  ACT  2604</w:t>
      </w:r>
      <w:r w:rsidRPr="00D47D24">
        <w:rPr>
          <w:sz w:val="18"/>
        </w:rPr>
        <w:tab/>
      </w:r>
      <w:r w:rsidRPr="00D47D24">
        <w:rPr>
          <w:sz w:val="18"/>
        </w:rPr>
        <w:tab/>
      </w:r>
    </w:p>
    <w:p w14:paraId="22BB9878" w14:textId="77777777" w:rsidR="00700A3D" w:rsidRPr="00D47D24" w:rsidRDefault="00700A3D" w:rsidP="009450ED">
      <w:pPr>
        <w:spacing w:before="0" w:after="0"/>
        <w:rPr>
          <w:sz w:val="18"/>
        </w:rPr>
      </w:pPr>
      <w:r w:rsidRPr="00D47D24">
        <w:rPr>
          <w:sz w:val="18"/>
        </w:rPr>
        <w:t>AUSTRALIA</w:t>
      </w:r>
      <w:r w:rsidRPr="00D47D24">
        <w:rPr>
          <w:sz w:val="18"/>
        </w:rPr>
        <w:tab/>
      </w:r>
      <w:r w:rsidRPr="00D47D24">
        <w:rPr>
          <w:sz w:val="18"/>
        </w:rPr>
        <w:tab/>
      </w:r>
    </w:p>
    <w:p w14:paraId="11D4F336" w14:textId="77777777" w:rsidR="00700A3D" w:rsidRPr="00D47D24" w:rsidRDefault="00700A3D" w:rsidP="009450ED">
      <w:pPr>
        <w:spacing w:before="0" w:after="0"/>
        <w:rPr>
          <w:sz w:val="18"/>
        </w:rPr>
      </w:pPr>
      <w:r w:rsidRPr="00D47D24">
        <w:rPr>
          <w:sz w:val="18"/>
        </w:rPr>
        <w:t xml:space="preserve">Tel +61 2 6271 2222  </w:t>
      </w:r>
    </w:p>
    <w:sdt>
      <w:sdtPr>
        <w:rPr>
          <w:rFonts w:ascii="Arial" w:eastAsiaTheme="minorHAnsi" w:hAnsi="Arial" w:cs="Arial"/>
          <w:color w:val="auto"/>
          <w:sz w:val="22"/>
          <w:szCs w:val="22"/>
          <w:lang w:val="en-GB"/>
        </w:rPr>
        <w:id w:val="1925998170"/>
        <w:docPartObj>
          <w:docPartGallery w:val="Table of Contents"/>
          <w:docPartUnique/>
        </w:docPartObj>
      </w:sdtPr>
      <w:sdtEndPr>
        <w:rPr>
          <w:rFonts w:cstheme="minorBidi"/>
          <w:b/>
          <w:bCs/>
          <w:noProof/>
        </w:rPr>
      </w:sdtEndPr>
      <w:sdtContent>
        <w:p w14:paraId="76B0B2D4" w14:textId="6BD0840C" w:rsidR="00D47D24" w:rsidRPr="003D1BD9" w:rsidRDefault="00D47D24" w:rsidP="00D47D24">
          <w:pPr>
            <w:pStyle w:val="TOCHeading"/>
            <w:jc w:val="center"/>
            <w:rPr>
              <w:rFonts w:ascii="Arial" w:hAnsi="Arial" w:cs="Arial"/>
              <w:b/>
              <w:color w:val="auto"/>
            </w:rPr>
          </w:pPr>
          <w:r w:rsidRPr="003D1BD9">
            <w:rPr>
              <w:rFonts w:ascii="Arial" w:hAnsi="Arial" w:cs="Arial"/>
              <w:b/>
              <w:color w:val="auto"/>
            </w:rPr>
            <w:t>Table of Contents</w:t>
          </w:r>
        </w:p>
        <w:p w14:paraId="5828A3A9" w14:textId="3818EAFE" w:rsidR="00D47D24" w:rsidRPr="00D47D24" w:rsidRDefault="00D47D24" w:rsidP="00D47D24">
          <w:pPr>
            <w:pStyle w:val="TOC1"/>
            <w:rPr>
              <w:rFonts w:asciiTheme="minorHAnsi" w:eastAsiaTheme="minorEastAsia" w:hAnsiTheme="minorHAnsi"/>
              <w:lang w:eastAsia="en-GB"/>
            </w:rPr>
          </w:pPr>
          <w:r>
            <w:fldChar w:fldCharType="begin"/>
          </w:r>
          <w:r>
            <w:instrText xml:space="preserve"> TOC \o "1-3" \h \z \u </w:instrText>
          </w:r>
          <w:r>
            <w:fldChar w:fldCharType="separate"/>
          </w:r>
          <w:hyperlink w:anchor="_Toc33094502" w:history="1">
            <w:r w:rsidRPr="00D47D24">
              <w:rPr>
                <w:rStyle w:val="Hyperlink"/>
              </w:rPr>
              <w:t>1.</w:t>
            </w:r>
            <w:r w:rsidRPr="00D47D24">
              <w:rPr>
                <w:rFonts w:asciiTheme="minorHAnsi" w:eastAsiaTheme="minorEastAsia" w:hAnsiTheme="minorHAnsi"/>
                <w:lang w:eastAsia="en-GB"/>
              </w:rPr>
              <w:tab/>
            </w:r>
            <w:r w:rsidRPr="00D47D24">
              <w:rPr>
                <w:rStyle w:val="Hyperlink"/>
              </w:rPr>
              <w:t>Introduction</w:t>
            </w:r>
            <w:r w:rsidRPr="00D47D24">
              <w:rPr>
                <w:webHidden/>
              </w:rPr>
              <w:tab/>
            </w:r>
            <w:r w:rsidRPr="00D47D24">
              <w:rPr>
                <w:webHidden/>
              </w:rPr>
              <w:fldChar w:fldCharType="begin"/>
            </w:r>
            <w:r w:rsidRPr="00D47D24">
              <w:rPr>
                <w:webHidden/>
              </w:rPr>
              <w:instrText xml:space="preserve"> PAGEREF _Toc33094502 \h </w:instrText>
            </w:r>
            <w:r w:rsidRPr="00D47D24">
              <w:rPr>
                <w:webHidden/>
              </w:rPr>
            </w:r>
            <w:r w:rsidRPr="00D47D24">
              <w:rPr>
                <w:webHidden/>
              </w:rPr>
              <w:fldChar w:fldCharType="separate"/>
            </w:r>
            <w:r w:rsidR="003D1BD9">
              <w:rPr>
                <w:webHidden/>
              </w:rPr>
              <w:t>4</w:t>
            </w:r>
            <w:r w:rsidRPr="00D47D24">
              <w:rPr>
                <w:webHidden/>
              </w:rPr>
              <w:fldChar w:fldCharType="end"/>
            </w:r>
          </w:hyperlink>
        </w:p>
        <w:p w14:paraId="2A1B6A14" w14:textId="212C8BE4"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03" w:history="1">
            <w:r w:rsidR="00D47D24" w:rsidRPr="00397BD7">
              <w:rPr>
                <w:rStyle w:val="Hyperlink"/>
                <w:noProof/>
              </w:rPr>
              <w:t>1.1</w:t>
            </w:r>
            <w:r w:rsidR="00D47D24">
              <w:rPr>
                <w:rFonts w:asciiTheme="minorHAnsi" w:eastAsiaTheme="minorEastAsia" w:hAnsiTheme="minorHAnsi"/>
                <w:noProof/>
                <w:lang w:eastAsia="en-GB"/>
              </w:rPr>
              <w:tab/>
            </w:r>
            <w:r w:rsidR="00D47D24" w:rsidRPr="00397BD7">
              <w:rPr>
                <w:rStyle w:val="Hyperlink"/>
                <w:noProof/>
              </w:rPr>
              <w:t>The problem</w:t>
            </w:r>
            <w:r w:rsidR="00D47D24">
              <w:rPr>
                <w:noProof/>
                <w:webHidden/>
              </w:rPr>
              <w:tab/>
            </w:r>
            <w:r w:rsidR="00D47D24">
              <w:rPr>
                <w:noProof/>
                <w:webHidden/>
              </w:rPr>
              <w:fldChar w:fldCharType="begin"/>
            </w:r>
            <w:r w:rsidR="00D47D24">
              <w:rPr>
                <w:noProof/>
                <w:webHidden/>
              </w:rPr>
              <w:instrText xml:space="preserve"> PAGEREF _Toc33094503 \h </w:instrText>
            </w:r>
            <w:r w:rsidR="00D47D24">
              <w:rPr>
                <w:noProof/>
                <w:webHidden/>
              </w:rPr>
            </w:r>
            <w:r w:rsidR="00D47D24">
              <w:rPr>
                <w:noProof/>
                <w:webHidden/>
              </w:rPr>
              <w:fldChar w:fldCharType="separate"/>
            </w:r>
            <w:r w:rsidR="003D1BD9">
              <w:rPr>
                <w:noProof/>
                <w:webHidden/>
              </w:rPr>
              <w:t>4</w:t>
            </w:r>
            <w:r w:rsidR="00D47D24">
              <w:rPr>
                <w:noProof/>
                <w:webHidden/>
              </w:rPr>
              <w:fldChar w:fldCharType="end"/>
            </w:r>
          </w:hyperlink>
        </w:p>
        <w:p w14:paraId="78C15961" w14:textId="7062D851"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04" w:history="1">
            <w:r w:rsidR="00D47D24" w:rsidRPr="00397BD7">
              <w:rPr>
                <w:rStyle w:val="Hyperlink"/>
                <w:noProof/>
              </w:rPr>
              <w:t>1.2</w:t>
            </w:r>
            <w:r w:rsidR="00D47D24">
              <w:rPr>
                <w:rFonts w:asciiTheme="minorHAnsi" w:eastAsiaTheme="minorEastAsia" w:hAnsiTheme="minorHAnsi"/>
                <w:noProof/>
                <w:lang w:eastAsia="en-GB"/>
              </w:rPr>
              <w:tab/>
            </w:r>
            <w:r w:rsidR="00D47D24" w:rsidRPr="00397BD7">
              <w:rPr>
                <w:rStyle w:val="Hyperlink"/>
                <w:noProof/>
              </w:rPr>
              <w:t>Scope of the Proposal</w:t>
            </w:r>
            <w:r w:rsidR="00D47D24">
              <w:rPr>
                <w:noProof/>
                <w:webHidden/>
              </w:rPr>
              <w:tab/>
            </w:r>
            <w:r w:rsidR="00D47D24">
              <w:rPr>
                <w:noProof/>
                <w:webHidden/>
              </w:rPr>
              <w:fldChar w:fldCharType="begin"/>
            </w:r>
            <w:r w:rsidR="00D47D24">
              <w:rPr>
                <w:noProof/>
                <w:webHidden/>
              </w:rPr>
              <w:instrText xml:space="preserve"> PAGEREF _Toc33094504 \h </w:instrText>
            </w:r>
            <w:r w:rsidR="00D47D24">
              <w:rPr>
                <w:noProof/>
                <w:webHidden/>
              </w:rPr>
            </w:r>
            <w:r w:rsidR="00D47D24">
              <w:rPr>
                <w:noProof/>
                <w:webHidden/>
              </w:rPr>
              <w:fldChar w:fldCharType="separate"/>
            </w:r>
            <w:r w:rsidR="003D1BD9">
              <w:rPr>
                <w:noProof/>
                <w:webHidden/>
              </w:rPr>
              <w:t>5</w:t>
            </w:r>
            <w:r w:rsidR="00D47D24">
              <w:rPr>
                <w:noProof/>
                <w:webHidden/>
              </w:rPr>
              <w:fldChar w:fldCharType="end"/>
            </w:r>
          </w:hyperlink>
        </w:p>
        <w:p w14:paraId="2C8ECF75" w14:textId="62EC9E1D"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05" w:history="1">
            <w:r w:rsidR="00D47D24" w:rsidRPr="00397BD7">
              <w:rPr>
                <w:rStyle w:val="Hyperlink"/>
                <w:noProof/>
              </w:rPr>
              <w:t>1.3</w:t>
            </w:r>
            <w:r w:rsidR="00D47D24">
              <w:rPr>
                <w:rFonts w:asciiTheme="minorHAnsi" w:eastAsiaTheme="minorEastAsia" w:hAnsiTheme="minorHAnsi"/>
                <w:noProof/>
                <w:lang w:eastAsia="en-GB"/>
              </w:rPr>
              <w:tab/>
            </w:r>
            <w:r w:rsidR="00D47D24" w:rsidRPr="00397BD7">
              <w:rPr>
                <w:rStyle w:val="Hyperlink"/>
                <w:noProof/>
              </w:rPr>
              <w:t>Request for stakeholder input</w:t>
            </w:r>
            <w:r w:rsidR="00D47D24">
              <w:rPr>
                <w:noProof/>
                <w:webHidden/>
              </w:rPr>
              <w:tab/>
            </w:r>
            <w:r w:rsidR="00D47D24">
              <w:rPr>
                <w:noProof/>
                <w:webHidden/>
              </w:rPr>
              <w:fldChar w:fldCharType="begin"/>
            </w:r>
            <w:r w:rsidR="00D47D24">
              <w:rPr>
                <w:noProof/>
                <w:webHidden/>
              </w:rPr>
              <w:instrText xml:space="preserve"> PAGEREF _Toc33094505 \h </w:instrText>
            </w:r>
            <w:r w:rsidR="00D47D24">
              <w:rPr>
                <w:noProof/>
                <w:webHidden/>
              </w:rPr>
            </w:r>
            <w:r w:rsidR="00D47D24">
              <w:rPr>
                <w:noProof/>
                <w:webHidden/>
              </w:rPr>
              <w:fldChar w:fldCharType="separate"/>
            </w:r>
            <w:r w:rsidR="003D1BD9">
              <w:rPr>
                <w:noProof/>
                <w:webHidden/>
              </w:rPr>
              <w:t>6</w:t>
            </w:r>
            <w:r w:rsidR="00D47D24">
              <w:rPr>
                <w:noProof/>
                <w:webHidden/>
              </w:rPr>
              <w:fldChar w:fldCharType="end"/>
            </w:r>
          </w:hyperlink>
        </w:p>
        <w:p w14:paraId="7DB980A9" w14:textId="261F3A13" w:rsidR="00D47D24" w:rsidRPr="00D47D24" w:rsidRDefault="00AE10F9" w:rsidP="00D47D24">
          <w:pPr>
            <w:pStyle w:val="TOC1"/>
            <w:rPr>
              <w:rFonts w:asciiTheme="minorHAnsi" w:eastAsiaTheme="minorEastAsia" w:hAnsiTheme="minorHAnsi"/>
              <w:lang w:eastAsia="en-GB"/>
            </w:rPr>
          </w:pPr>
          <w:hyperlink w:anchor="_Toc33094506" w:history="1">
            <w:r w:rsidR="00D47D24" w:rsidRPr="00D47D24">
              <w:rPr>
                <w:rStyle w:val="Hyperlink"/>
              </w:rPr>
              <w:t>2.</w:t>
            </w:r>
            <w:r w:rsidR="00D47D24" w:rsidRPr="00D47D24">
              <w:rPr>
                <w:rFonts w:asciiTheme="minorHAnsi" w:eastAsiaTheme="minorEastAsia" w:hAnsiTheme="minorHAnsi"/>
                <w:lang w:eastAsia="en-GB"/>
              </w:rPr>
              <w:tab/>
            </w:r>
            <w:r w:rsidR="00D47D24" w:rsidRPr="00D47D24">
              <w:rPr>
                <w:rStyle w:val="Hyperlink"/>
              </w:rPr>
              <w:t>Characteristics of in-scope businesses</w:t>
            </w:r>
            <w:r w:rsidR="00D47D24" w:rsidRPr="00D47D24">
              <w:rPr>
                <w:webHidden/>
              </w:rPr>
              <w:tab/>
            </w:r>
            <w:r w:rsidR="00D47D24" w:rsidRPr="00D47D24">
              <w:rPr>
                <w:webHidden/>
              </w:rPr>
              <w:fldChar w:fldCharType="begin"/>
            </w:r>
            <w:r w:rsidR="00D47D24" w:rsidRPr="00D47D24">
              <w:rPr>
                <w:webHidden/>
              </w:rPr>
              <w:instrText xml:space="preserve"> PAGEREF _Toc33094506 \h </w:instrText>
            </w:r>
            <w:r w:rsidR="00D47D24" w:rsidRPr="00D47D24">
              <w:rPr>
                <w:webHidden/>
              </w:rPr>
            </w:r>
            <w:r w:rsidR="00D47D24" w:rsidRPr="00D47D24">
              <w:rPr>
                <w:webHidden/>
              </w:rPr>
              <w:fldChar w:fldCharType="separate"/>
            </w:r>
            <w:r w:rsidR="003D1BD9">
              <w:rPr>
                <w:webHidden/>
              </w:rPr>
              <w:t>6</w:t>
            </w:r>
            <w:r w:rsidR="00D47D24" w:rsidRPr="00D47D24">
              <w:rPr>
                <w:webHidden/>
              </w:rPr>
              <w:fldChar w:fldCharType="end"/>
            </w:r>
          </w:hyperlink>
        </w:p>
        <w:p w14:paraId="5089C655" w14:textId="3841A80F"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07" w:history="1">
            <w:r w:rsidR="00D47D24" w:rsidRPr="00397BD7">
              <w:rPr>
                <w:rStyle w:val="Hyperlink"/>
                <w:noProof/>
              </w:rPr>
              <w:t>2.1</w:t>
            </w:r>
            <w:r w:rsidR="00D47D24">
              <w:rPr>
                <w:rFonts w:asciiTheme="minorHAnsi" w:eastAsiaTheme="minorEastAsia" w:hAnsiTheme="minorHAnsi"/>
                <w:noProof/>
                <w:lang w:eastAsia="en-GB"/>
              </w:rPr>
              <w:tab/>
            </w:r>
            <w:r w:rsidR="00D47D24" w:rsidRPr="00397BD7">
              <w:rPr>
                <w:rStyle w:val="Hyperlink"/>
                <w:noProof/>
              </w:rPr>
              <w:t>Food handling activities</w:t>
            </w:r>
            <w:r w:rsidR="00D47D24">
              <w:rPr>
                <w:noProof/>
                <w:webHidden/>
              </w:rPr>
              <w:tab/>
            </w:r>
            <w:r w:rsidR="00D47D24">
              <w:rPr>
                <w:noProof/>
                <w:webHidden/>
              </w:rPr>
              <w:fldChar w:fldCharType="begin"/>
            </w:r>
            <w:r w:rsidR="00D47D24">
              <w:rPr>
                <w:noProof/>
                <w:webHidden/>
              </w:rPr>
              <w:instrText xml:space="preserve"> PAGEREF _Toc33094507 \h </w:instrText>
            </w:r>
            <w:r w:rsidR="00D47D24">
              <w:rPr>
                <w:noProof/>
                <w:webHidden/>
              </w:rPr>
            </w:r>
            <w:r w:rsidR="00D47D24">
              <w:rPr>
                <w:noProof/>
                <w:webHidden/>
              </w:rPr>
              <w:fldChar w:fldCharType="separate"/>
            </w:r>
            <w:r w:rsidR="003D1BD9">
              <w:rPr>
                <w:noProof/>
                <w:webHidden/>
              </w:rPr>
              <w:t>6</w:t>
            </w:r>
            <w:r w:rsidR="00D47D24">
              <w:rPr>
                <w:noProof/>
                <w:webHidden/>
              </w:rPr>
              <w:fldChar w:fldCharType="end"/>
            </w:r>
          </w:hyperlink>
        </w:p>
        <w:p w14:paraId="508A9D4B" w14:textId="76AFD14B"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08" w:history="1">
            <w:r w:rsidR="00D47D24" w:rsidRPr="00397BD7">
              <w:rPr>
                <w:rStyle w:val="Hyperlink"/>
                <w:noProof/>
              </w:rPr>
              <w:t>2.2</w:t>
            </w:r>
            <w:r w:rsidR="00D47D24">
              <w:rPr>
                <w:rFonts w:asciiTheme="minorHAnsi" w:eastAsiaTheme="minorEastAsia" w:hAnsiTheme="minorHAnsi"/>
                <w:noProof/>
                <w:lang w:eastAsia="en-GB"/>
              </w:rPr>
              <w:tab/>
            </w:r>
            <w:r w:rsidR="00D47D24" w:rsidRPr="00397BD7">
              <w:rPr>
                <w:rStyle w:val="Hyperlink"/>
                <w:noProof/>
              </w:rPr>
              <w:t>Challenging work environments</w:t>
            </w:r>
            <w:r w:rsidR="00D47D24">
              <w:rPr>
                <w:noProof/>
                <w:webHidden/>
              </w:rPr>
              <w:tab/>
            </w:r>
            <w:r w:rsidR="00D47D24">
              <w:rPr>
                <w:noProof/>
                <w:webHidden/>
              </w:rPr>
              <w:fldChar w:fldCharType="begin"/>
            </w:r>
            <w:r w:rsidR="00D47D24">
              <w:rPr>
                <w:noProof/>
                <w:webHidden/>
              </w:rPr>
              <w:instrText xml:space="preserve"> PAGEREF _Toc33094508 \h </w:instrText>
            </w:r>
            <w:r w:rsidR="00D47D24">
              <w:rPr>
                <w:noProof/>
                <w:webHidden/>
              </w:rPr>
            </w:r>
            <w:r w:rsidR="00D47D24">
              <w:rPr>
                <w:noProof/>
                <w:webHidden/>
              </w:rPr>
              <w:fldChar w:fldCharType="separate"/>
            </w:r>
            <w:r w:rsidR="003D1BD9">
              <w:rPr>
                <w:noProof/>
                <w:webHidden/>
              </w:rPr>
              <w:t>7</w:t>
            </w:r>
            <w:r w:rsidR="00D47D24">
              <w:rPr>
                <w:noProof/>
                <w:webHidden/>
              </w:rPr>
              <w:fldChar w:fldCharType="end"/>
            </w:r>
          </w:hyperlink>
        </w:p>
        <w:p w14:paraId="70C12E18" w14:textId="5781CAF1"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09" w:history="1">
            <w:r w:rsidR="00D47D24" w:rsidRPr="00397BD7">
              <w:rPr>
                <w:rStyle w:val="Hyperlink"/>
                <w:noProof/>
              </w:rPr>
              <w:t>2.3</w:t>
            </w:r>
            <w:r w:rsidR="00D47D24">
              <w:rPr>
                <w:rFonts w:asciiTheme="minorHAnsi" w:eastAsiaTheme="minorEastAsia" w:hAnsiTheme="minorHAnsi"/>
                <w:noProof/>
                <w:lang w:eastAsia="en-GB"/>
              </w:rPr>
              <w:tab/>
            </w:r>
            <w:r w:rsidR="00D47D24" w:rsidRPr="00397BD7">
              <w:rPr>
                <w:rStyle w:val="Hyperlink"/>
                <w:noProof/>
              </w:rPr>
              <w:t xml:space="preserve"> Number of businesses and food handlers</w:t>
            </w:r>
            <w:r w:rsidR="00D47D24">
              <w:rPr>
                <w:noProof/>
                <w:webHidden/>
              </w:rPr>
              <w:tab/>
            </w:r>
            <w:r w:rsidR="00D47D24">
              <w:rPr>
                <w:noProof/>
                <w:webHidden/>
              </w:rPr>
              <w:fldChar w:fldCharType="begin"/>
            </w:r>
            <w:r w:rsidR="00D47D24">
              <w:rPr>
                <w:noProof/>
                <w:webHidden/>
              </w:rPr>
              <w:instrText xml:space="preserve"> PAGEREF _Toc33094509 \h </w:instrText>
            </w:r>
            <w:r w:rsidR="00D47D24">
              <w:rPr>
                <w:noProof/>
                <w:webHidden/>
              </w:rPr>
            </w:r>
            <w:r w:rsidR="00D47D24">
              <w:rPr>
                <w:noProof/>
                <w:webHidden/>
              </w:rPr>
              <w:fldChar w:fldCharType="separate"/>
            </w:r>
            <w:r w:rsidR="003D1BD9">
              <w:rPr>
                <w:noProof/>
                <w:webHidden/>
              </w:rPr>
              <w:t>8</w:t>
            </w:r>
            <w:r w:rsidR="00D47D24">
              <w:rPr>
                <w:noProof/>
                <w:webHidden/>
              </w:rPr>
              <w:fldChar w:fldCharType="end"/>
            </w:r>
          </w:hyperlink>
        </w:p>
        <w:p w14:paraId="3E12457B" w14:textId="17B229E8" w:rsidR="00D47D24" w:rsidRDefault="00AE10F9" w:rsidP="00D47D24">
          <w:pPr>
            <w:pStyle w:val="TOC1"/>
            <w:rPr>
              <w:rFonts w:asciiTheme="minorHAnsi" w:eastAsiaTheme="minorEastAsia" w:hAnsiTheme="minorHAnsi"/>
              <w:lang w:eastAsia="en-GB"/>
            </w:rPr>
          </w:pPr>
          <w:hyperlink w:anchor="_Toc33094510" w:history="1">
            <w:r w:rsidR="00D47D24" w:rsidRPr="00397BD7">
              <w:rPr>
                <w:rStyle w:val="Hyperlink"/>
              </w:rPr>
              <w:t>3.</w:t>
            </w:r>
            <w:r w:rsidR="00D47D24">
              <w:rPr>
                <w:rFonts w:asciiTheme="minorHAnsi" w:eastAsiaTheme="minorEastAsia" w:hAnsiTheme="minorHAnsi"/>
                <w:lang w:eastAsia="en-GB"/>
              </w:rPr>
              <w:tab/>
            </w:r>
            <w:r w:rsidR="00D47D24" w:rsidRPr="00397BD7">
              <w:rPr>
                <w:rStyle w:val="Hyperlink"/>
              </w:rPr>
              <w:t>Current status of food safety management</w:t>
            </w:r>
            <w:r w:rsidR="00D47D24">
              <w:rPr>
                <w:webHidden/>
              </w:rPr>
              <w:tab/>
            </w:r>
            <w:r w:rsidR="00D47D24">
              <w:rPr>
                <w:webHidden/>
              </w:rPr>
              <w:fldChar w:fldCharType="begin"/>
            </w:r>
            <w:r w:rsidR="00D47D24">
              <w:rPr>
                <w:webHidden/>
              </w:rPr>
              <w:instrText xml:space="preserve"> PAGEREF _Toc33094510 \h </w:instrText>
            </w:r>
            <w:r w:rsidR="00D47D24">
              <w:rPr>
                <w:webHidden/>
              </w:rPr>
            </w:r>
            <w:r w:rsidR="00D47D24">
              <w:rPr>
                <w:webHidden/>
              </w:rPr>
              <w:fldChar w:fldCharType="separate"/>
            </w:r>
            <w:r w:rsidR="003D1BD9">
              <w:rPr>
                <w:webHidden/>
              </w:rPr>
              <w:t>9</w:t>
            </w:r>
            <w:r w:rsidR="00D47D24">
              <w:rPr>
                <w:webHidden/>
              </w:rPr>
              <w:fldChar w:fldCharType="end"/>
            </w:r>
          </w:hyperlink>
        </w:p>
        <w:p w14:paraId="5E0055C6" w14:textId="097861CD"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11" w:history="1">
            <w:r w:rsidR="00D47D24" w:rsidRPr="00397BD7">
              <w:rPr>
                <w:rStyle w:val="Hyperlink"/>
                <w:noProof/>
              </w:rPr>
              <w:t>3.1</w:t>
            </w:r>
            <w:r w:rsidR="00D47D24">
              <w:rPr>
                <w:rFonts w:asciiTheme="minorHAnsi" w:eastAsiaTheme="minorEastAsia" w:hAnsiTheme="minorHAnsi"/>
                <w:noProof/>
                <w:lang w:eastAsia="en-GB"/>
              </w:rPr>
              <w:tab/>
            </w:r>
            <w:r w:rsidR="00D47D24" w:rsidRPr="00397BD7">
              <w:rPr>
                <w:rStyle w:val="Hyperlink"/>
                <w:noProof/>
              </w:rPr>
              <w:t>Current regulatory measures</w:t>
            </w:r>
            <w:r w:rsidR="00D47D24">
              <w:rPr>
                <w:noProof/>
                <w:webHidden/>
              </w:rPr>
              <w:tab/>
            </w:r>
            <w:r w:rsidR="00D47D24">
              <w:rPr>
                <w:noProof/>
                <w:webHidden/>
              </w:rPr>
              <w:fldChar w:fldCharType="begin"/>
            </w:r>
            <w:r w:rsidR="00D47D24">
              <w:rPr>
                <w:noProof/>
                <w:webHidden/>
              </w:rPr>
              <w:instrText xml:space="preserve"> PAGEREF _Toc33094511 \h </w:instrText>
            </w:r>
            <w:r w:rsidR="00D47D24">
              <w:rPr>
                <w:noProof/>
                <w:webHidden/>
              </w:rPr>
            </w:r>
            <w:r w:rsidR="00D47D24">
              <w:rPr>
                <w:noProof/>
                <w:webHidden/>
              </w:rPr>
              <w:fldChar w:fldCharType="separate"/>
            </w:r>
            <w:r w:rsidR="003D1BD9">
              <w:rPr>
                <w:noProof/>
                <w:webHidden/>
              </w:rPr>
              <w:t>9</w:t>
            </w:r>
            <w:r w:rsidR="00D47D24">
              <w:rPr>
                <w:noProof/>
                <w:webHidden/>
              </w:rPr>
              <w:fldChar w:fldCharType="end"/>
            </w:r>
          </w:hyperlink>
        </w:p>
        <w:p w14:paraId="4DE781D1" w14:textId="30B04359"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12" w:history="1">
            <w:r w:rsidR="00D47D24" w:rsidRPr="00397BD7">
              <w:rPr>
                <w:rStyle w:val="Hyperlink"/>
                <w:noProof/>
              </w:rPr>
              <w:t>3.2</w:t>
            </w:r>
            <w:r w:rsidR="00D47D24">
              <w:rPr>
                <w:rFonts w:asciiTheme="minorHAnsi" w:eastAsiaTheme="minorEastAsia" w:hAnsiTheme="minorHAnsi"/>
                <w:noProof/>
                <w:lang w:eastAsia="en-GB"/>
              </w:rPr>
              <w:tab/>
            </w:r>
            <w:r w:rsidR="00D47D24" w:rsidRPr="00397BD7">
              <w:rPr>
                <w:rStyle w:val="Hyperlink"/>
                <w:noProof/>
              </w:rPr>
              <w:t>Other measures</w:t>
            </w:r>
            <w:r w:rsidR="00D47D24">
              <w:rPr>
                <w:noProof/>
                <w:webHidden/>
              </w:rPr>
              <w:tab/>
            </w:r>
            <w:r w:rsidR="00D47D24">
              <w:rPr>
                <w:noProof/>
                <w:webHidden/>
              </w:rPr>
              <w:fldChar w:fldCharType="begin"/>
            </w:r>
            <w:r w:rsidR="00D47D24">
              <w:rPr>
                <w:noProof/>
                <w:webHidden/>
              </w:rPr>
              <w:instrText xml:space="preserve"> PAGEREF _Toc33094512 \h </w:instrText>
            </w:r>
            <w:r w:rsidR="00D47D24">
              <w:rPr>
                <w:noProof/>
                <w:webHidden/>
              </w:rPr>
            </w:r>
            <w:r w:rsidR="00D47D24">
              <w:rPr>
                <w:noProof/>
                <w:webHidden/>
              </w:rPr>
              <w:fldChar w:fldCharType="separate"/>
            </w:r>
            <w:r w:rsidR="003D1BD9">
              <w:rPr>
                <w:noProof/>
                <w:webHidden/>
              </w:rPr>
              <w:t>9</w:t>
            </w:r>
            <w:r w:rsidR="00D47D24">
              <w:rPr>
                <w:noProof/>
                <w:webHidden/>
              </w:rPr>
              <w:fldChar w:fldCharType="end"/>
            </w:r>
          </w:hyperlink>
        </w:p>
        <w:p w14:paraId="456C168D" w14:textId="4075C8E0"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13" w:history="1">
            <w:r w:rsidR="00D47D24" w:rsidRPr="00397BD7">
              <w:rPr>
                <w:rStyle w:val="Hyperlink"/>
                <w:noProof/>
                <w:lang w:eastAsia="en-AU"/>
              </w:rPr>
              <w:t>3.3</w:t>
            </w:r>
            <w:r w:rsidR="00D47D24">
              <w:rPr>
                <w:rFonts w:asciiTheme="minorHAnsi" w:eastAsiaTheme="minorEastAsia" w:hAnsiTheme="minorHAnsi"/>
                <w:noProof/>
                <w:lang w:eastAsia="en-GB"/>
              </w:rPr>
              <w:tab/>
            </w:r>
            <w:r w:rsidR="00D47D24" w:rsidRPr="00397BD7">
              <w:rPr>
                <w:rStyle w:val="Hyperlink"/>
                <w:noProof/>
                <w:lang w:eastAsia="en-AU"/>
              </w:rPr>
              <w:t>Adequacy of current measures</w:t>
            </w:r>
            <w:r w:rsidR="00D47D24">
              <w:rPr>
                <w:noProof/>
                <w:webHidden/>
              </w:rPr>
              <w:tab/>
            </w:r>
            <w:r w:rsidR="00D47D24">
              <w:rPr>
                <w:noProof/>
                <w:webHidden/>
              </w:rPr>
              <w:fldChar w:fldCharType="begin"/>
            </w:r>
            <w:r w:rsidR="00D47D24">
              <w:rPr>
                <w:noProof/>
                <w:webHidden/>
              </w:rPr>
              <w:instrText xml:space="preserve"> PAGEREF _Toc33094513 \h </w:instrText>
            </w:r>
            <w:r w:rsidR="00D47D24">
              <w:rPr>
                <w:noProof/>
                <w:webHidden/>
              </w:rPr>
            </w:r>
            <w:r w:rsidR="00D47D24">
              <w:rPr>
                <w:noProof/>
                <w:webHidden/>
              </w:rPr>
              <w:fldChar w:fldCharType="separate"/>
            </w:r>
            <w:r w:rsidR="003D1BD9">
              <w:rPr>
                <w:noProof/>
                <w:webHidden/>
              </w:rPr>
              <w:t>10</w:t>
            </w:r>
            <w:r w:rsidR="00D47D24">
              <w:rPr>
                <w:noProof/>
                <w:webHidden/>
              </w:rPr>
              <w:fldChar w:fldCharType="end"/>
            </w:r>
          </w:hyperlink>
        </w:p>
        <w:p w14:paraId="5EAA0114" w14:textId="35A4B83C" w:rsidR="00D47D24" w:rsidRDefault="00AE10F9" w:rsidP="00D47D24">
          <w:pPr>
            <w:pStyle w:val="TOC1"/>
            <w:rPr>
              <w:rFonts w:asciiTheme="minorHAnsi" w:eastAsiaTheme="minorEastAsia" w:hAnsiTheme="minorHAnsi"/>
              <w:lang w:eastAsia="en-GB"/>
            </w:rPr>
          </w:pPr>
          <w:hyperlink w:anchor="_Toc33094514" w:history="1">
            <w:r w:rsidR="00D47D24" w:rsidRPr="00397BD7">
              <w:rPr>
                <w:rStyle w:val="Hyperlink"/>
                <w:lang w:val="en-AU"/>
              </w:rPr>
              <w:t>4.</w:t>
            </w:r>
            <w:r w:rsidR="00D47D24">
              <w:rPr>
                <w:rFonts w:asciiTheme="minorHAnsi" w:eastAsiaTheme="minorEastAsia" w:hAnsiTheme="minorHAnsi"/>
                <w:lang w:eastAsia="en-GB"/>
              </w:rPr>
              <w:tab/>
            </w:r>
            <w:r w:rsidR="00D47D24" w:rsidRPr="00397BD7">
              <w:rPr>
                <w:rStyle w:val="Hyperlink"/>
                <w:lang w:val="en-AU"/>
              </w:rPr>
              <w:t>Additional food safety management tools proposed by Ministers</w:t>
            </w:r>
            <w:r w:rsidR="00D47D24">
              <w:rPr>
                <w:webHidden/>
              </w:rPr>
              <w:tab/>
            </w:r>
            <w:r w:rsidR="00D47D24">
              <w:rPr>
                <w:webHidden/>
              </w:rPr>
              <w:fldChar w:fldCharType="begin"/>
            </w:r>
            <w:r w:rsidR="00D47D24">
              <w:rPr>
                <w:webHidden/>
              </w:rPr>
              <w:instrText xml:space="preserve"> PAGEREF _Toc33094514 \h </w:instrText>
            </w:r>
            <w:r w:rsidR="00D47D24">
              <w:rPr>
                <w:webHidden/>
              </w:rPr>
            </w:r>
            <w:r w:rsidR="00D47D24">
              <w:rPr>
                <w:webHidden/>
              </w:rPr>
              <w:fldChar w:fldCharType="separate"/>
            </w:r>
            <w:r w:rsidR="003D1BD9">
              <w:rPr>
                <w:webHidden/>
              </w:rPr>
              <w:t>10</w:t>
            </w:r>
            <w:r w:rsidR="00D47D24">
              <w:rPr>
                <w:webHidden/>
              </w:rPr>
              <w:fldChar w:fldCharType="end"/>
            </w:r>
          </w:hyperlink>
        </w:p>
        <w:p w14:paraId="3AF83EA6" w14:textId="5FA936CC"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15" w:history="1">
            <w:r w:rsidR="00D47D24" w:rsidRPr="00397BD7">
              <w:rPr>
                <w:rStyle w:val="Hyperlink"/>
                <w:noProof/>
              </w:rPr>
              <w:t>4.1</w:t>
            </w:r>
            <w:r w:rsidR="00D47D24">
              <w:rPr>
                <w:rFonts w:asciiTheme="minorHAnsi" w:eastAsiaTheme="minorEastAsia" w:hAnsiTheme="minorHAnsi"/>
                <w:noProof/>
                <w:lang w:eastAsia="en-GB"/>
              </w:rPr>
              <w:tab/>
            </w:r>
            <w:r w:rsidR="00D47D24" w:rsidRPr="00397BD7">
              <w:rPr>
                <w:rStyle w:val="Hyperlink"/>
                <w:noProof/>
              </w:rPr>
              <w:t>Regulated food safety training for all food handlers</w:t>
            </w:r>
            <w:r w:rsidR="00D47D24">
              <w:rPr>
                <w:noProof/>
                <w:webHidden/>
              </w:rPr>
              <w:tab/>
            </w:r>
            <w:r w:rsidR="00D47D24">
              <w:rPr>
                <w:noProof/>
                <w:webHidden/>
              </w:rPr>
              <w:fldChar w:fldCharType="begin"/>
            </w:r>
            <w:r w:rsidR="00D47D24">
              <w:rPr>
                <w:noProof/>
                <w:webHidden/>
              </w:rPr>
              <w:instrText xml:space="preserve"> PAGEREF _Toc33094515 \h </w:instrText>
            </w:r>
            <w:r w:rsidR="00D47D24">
              <w:rPr>
                <w:noProof/>
                <w:webHidden/>
              </w:rPr>
            </w:r>
            <w:r w:rsidR="00D47D24">
              <w:rPr>
                <w:noProof/>
                <w:webHidden/>
              </w:rPr>
              <w:fldChar w:fldCharType="separate"/>
            </w:r>
            <w:r w:rsidR="003D1BD9">
              <w:rPr>
                <w:noProof/>
                <w:webHidden/>
              </w:rPr>
              <w:t>11</w:t>
            </w:r>
            <w:r w:rsidR="00D47D24">
              <w:rPr>
                <w:noProof/>
                <w:webHidden/>
              </w:rPr>
              <w:fldChar w:fldCharType="end"/>
            </w:r>
          </w:hyperlink>
        </w:p>
        <w:p w14:paraId="60882CBC" w14:textId="616936D6"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16" w:history="1">
            <w:r w:rsidR="00D47D24" w:rsidRPr="00397BD7">
              <w:rPr>
                <w:rStyle w:val="Hyperlink"/>
                <w:noProof/>
              </w:rPr>
              <w:t>4.2</w:t>
            </w:r>
            <w:r w:rsidR="00D47D24">
              <w:rPr>
                <w:rFonts w:asciiTheme="minorHAnsi" w:eastAsiaTheme="minorEastAsia" w:hAnsiTheme="minorHAnsi"/>
                <w:noProof/>
                <w:lang w:eastAsia="en-GB"/>
              </w:rPr>
              <w:tab/>
            </w:r>
            <w:r w:rsidR="00D47D24" w:rsidRPr="00397BD7">
              <w:rPr>
                <w:rStyle w:val="Hyperlink"/>
                <w:noProof/>
              </w:rPr>
              <w:t>Certified food safety supervisor</w:t>
            </w:r>
            <w:r w:rsidR="00D47D24">
              <w:rPr>
                <w:noProof/>
                <w:webHidden/>
              </w:rPr>
              <w:tab/>
            </w:r>
            <w:r w:rsidR="00D47D24">
              <w:rPr>
                <w:noProof/>
                <w:webHidden/>
              </w:rPr>
              <w:fldChar w:fldCharType="begin"/>
            </w:r>
            <w:r w:rsidR="00D47D24">
              <w:rPr>
                <w:noProof/>
                <w:webHidden/>
              </w:rPr>
              <w:instrText xml:space="preserve"> PAGEREF _Toc33094516 \h </w:instrText>
            </w:r>
            <w:r w:rsidR="00D47D24">
              <w:rPr>
                <w:noProof/>
                <w:webHidden/>
              </w:rPr>
            </w:r>
            <w:r w:rsidR="00D47D24">
              <w:rPr>
                <w:noProof/>
                <w:webHidden/>
              </w:rPr>
              <w:fldChar w:fldCharType="separate"/>
            </w:r>
            <w:r w:rsidR="003D1BD9">
              <w:rPr>
                <w:noProof/>
                <w:webHidden/>
              </w:rPr>
              <w:t>12</w:t>
            </w:r>
            <w:r w:rsidR="00D47D24">
              <w:rPr>
                <w:noProof/>
                <w:webHidden/>
              </w:rPr>
              <w:fldChar w:fldCharType="end"/>
            </w:r>
          </w:hyperlink>
        </w:p>
        <w:p w14:paraId="63291E9B" w14:textId="32100E09" w:rsidR="00D47D24" w:rsidRDefault="00AE10F9">
          <w:pPr>
            <w:pStyle w:val="TOC2"/>
            <w:tabs>
              <w:tab w:val="left" w:pos="880"/>
              <w:tab w:val="right" w:leader="dot" w:pos="9060"/>
            </w:tabs>
            <w:rPr>
              <w:rFonts w:asciiTheme="minorHAnsi" w:eastAsiaTheme="minorEastAsia" w:hAnsiTheme="minorHAnsi"/>
              <w:noProof/>
              <w:lang w:eastAsia="en-GB"/>
            </w:rPr>
          </w:pPr>
          <w:hyperlink w:anchor="_Toc33094517" w:history="1">
            <w:r w:rsidR="00D47D24" w:rsidRPr="00397BD7">
              <w:rPr>
                <w:rStyle w:val="Hyperlink"/>
                <w:noProof/>
              </w:rPr>
              <w:t>4.3</w:t>
            </w:r>
            <w:r w:rsidR="00D47D24">
              <w:rPr>
                <w:rFonts w:asciiTheme="minorHAnsi" w:eastAsiaTheme="minorEastAsia" w:hAnsiTheme="minorHAnsi"/>
                <w:noProof/>
                <w:lang w:eastAsia="en-GB"/>
              </w:rPr>
              <w:tab/>
            </w:r>
            <w:r w:rsidR="00D47D24" w:rsidRPr="00397BD7">
              <w:rPr>
                <w:rStyle w:val="Hyperlink"/>
                <w:noProof/>
              </w:rPr>
              <w:t>Evidence of essential control measures</w:t>
            </w:r>
            <w:r w:rsidR="00D47D24">
              <w:rPr>
                <w:noProof/>
                <w:webHidden/>
              </w:rPr>
              <w:tab/>
            </w:r>
            <w:r w:rsidR="00D47D24">
              <w:rPr>
                <w:noProof/>
                <w:webHidden/>
              </w:rPr>
              <w:fldChar w:fldCharType="begin"/>
            </w:r>
            <w:r w:rsidR="00D47D24">
              <w:rPr>
                <w:noProof/>
                <w:webHidden/>
              </w:rPr>
              <w:instrText xml:space="preserve"> PAGEREF _Toc33094517 \h </w:instrText>
            </w:r>
            <w:r w:rsidR="00D47D24">
              <w:rPr>
                <w:noProof/>
                <w:webHidden/>
              </w:rPr>
            </w:r>
            <w:r w:rsidR="00D47D24">
              <w:rPr>
                <w:noProof/>
                <w:webHidden/>
              </w:rPr>
              <w:fldChar w:fldCharType="separate"/>
            </w:r>
            <w:r w:rsidR="003D1BD9">
              <w:rPr>
                <w:noProof/>
                <w:webHidden/>
              </w:rPr>
              <w:t>13</w:t>
            </w:r>
            <w:r w:rsidR="00D47D24">
              <w:rPr>
                <w:noProof/>
                <w:webHidden/>
              </w:rPr>
              <w:fldChar w:fldCharType="end"/>
            </w:r>
          </w:hyperlink>
        </w:p>
        <w:p w14:paraId="3B88193E" w14:textId="6A5AE5AB" w:rsidR="00D47D24" w:rsidRDefault="00AE10F9" w:rsidP="00D47D24">
          <w:pPr>
            <w:pStyle w:val="TOC1"/>
            <w:rPr>
              <w:rFonts w:asciiTheme="minorHAnsi" w:eastAsiaTheme="minorEastAsia" w:hAnsiTheme="minorHAnsi"/>
              <w:lang w:eastAsia="en-GB"/>
            </w:rPr>
          </w:pPr>
          <w:hyperlink w:anchor="_Toc33094518" w:history="1">
            <w:r w:rsidR="00D47D24" w:rsidRPr="00397BD7">
              <w:rPr>
                <w:rStyle w:val="Hyperlink"/>
                <w:lang w:val="en-AU"/>
              </w:rPr>
              <w:t>5.</w:t>
            </w:r>
            <w:r w:rsidR="00D47D24">
              <w:rPr>
                <w:rFonts w:asciiTheme="minorHAnsi" w:eastAsiaTheme="minorEastAsia" w:hAnsiTheme="minorHAnsi"/>
                <w:lang w:eastAsia="en-GB"/>
              </w:rPr>
              <w:tab/>
            </w:r>
            <w:r w:rsidR="00D47D24" w:rsidRPr="00397BD7">
              <w:rPr>
                <w:rStyle w:val="Hyperlink"/>
                <w:lang w:val="en-AU"/>
              </w:rPr>
              <w:t>Assessing the proposed tools</w:t>
            </w:r>
            <w:r w:rsidR="00D47D24">
              <w:rPr>
                <w:webHidden/>
              </w:rPr>
              <w:tab/>
            </w:r>
            <w:r w:rsidR="00D47D24">
              <w:rPr>
                <w:webHidden/>
              </w:rPr>
              <w:fldChar w:fldCharType="begin"/>
            </w:r>
            <w:r w:rsidR="00D47D24">
              <w:rPr>
                <w:webHidden/>
              </w:rPr>
              <w:instrText xml:space="preserve"> PAGEREF _Toc33094518 \h </w:instrText>
            </w:r>
            <w:r w:rsidR="00D47D24">
              <w:rPr>
                <w:webHidden/>
              </w:rPr>
            </w:r>
            <w:r w:rsidR="00D47D24">
              <w:rPr>
                <w:webHidden/>
              </w:rPr>
              <w:fldChar w:fldCharType="separate"/>
            </w:r>
            <w:r w:rsidR="003D1BD9">
              <w:rPr>
                <w:webHidden/>
              </w:rPr>
              <w:t>13</w:t>
            </w:r>
            <w:r w:rsidR="00D47D24">
              <w:rPr>
                <w:webHidden/>
              </w:rPr>
              <w:fldChar w:fldCharType="end"/>
            </w:r>
          </w:hyperlink>
        </w:p>
        <w:p w14:paraId="6F3D3FCE" w14:textId="0D006E0F" w:rsidR="00D47D24" w:rsidRDefault="00AE10F9">
          <w:pPr>
            <w:pStyle w:val="TOC2"/>
            <w:tabs>
              <w:tab w:val="right" w:leader="dot" w:pos="9060"/>
            </w:tabs>
            <w:rPr>
              <w:rFonts w:asciiTheme="minorHAnsi" w:eastAsiaTheme="minorEastAsia" w:hAnsiTheme="minorHAnsi"/>
              <w:noProof/>
              <w:lang w:eastAsia="en-GB"/>
            </w:rPr>
          </w:pPr>
          <w:hyperlink w:anchor="_Toc33094519" w:history="1">
            <w:r w:rsidR="00D47D24" w:rsidRPr="00397BD7">
              <w:rPr>
                <w:rStyle w:val="Hyperlink"/>
                <w:noProof/>
              </w:rPr>
              <w:t>5.1 Status quo</w:t>
            </w:r>
            <w:r w:rsidR="00D47D24">
              <w:rPr>
                <w:noProof/>
                <w:webHidden/>
              </w:rPr>
              <w:tab/>
            </w:r>
            <w:r w:rsidR="00D47D24">
              <w:rPr>
                <w:noProof/>
                <w:webHidden/>
              </w:rPr>
              <w:fldChar w:fldCharType="begin"/>
            </w:r>
            <w:r w:rsidR="00D47D24">
              <w:rPr>
                <w:noProof/>
                <w:webHidden/>
              </w:rPr>
              <w:instrText xml:space="preserve"> PAGEREF _Toc33094519 \h </w:instrText>
            </w:r>
            <w:r w:rsidR="00D47D24">
              <w:rPr>
                <w:noProof/>
                <w:webHidden/>
              </w:rPr>
            </w:r>
            <w:r w:rsidR="00D47D24">
              <w:rPr>
                <w:noProof/>
                <w:webHidden/>
              </w:rPr>
              <w:fldChar w:fldCharType="separate"/>
            </w:r>
            <w:r w:rsidR="003D1BD9">
              <w:rPr>
                <w:noProof/>
                <w:webHidden/>
              </w:rPr>
              <w:t>13</w:t>
            </w:r>
            <w:r w:rsidR="00D47D24">
              <w:rPr>
                <w:noProof/>
                <w:webHidden/>
              </w:rPr>
              <w:fldChar w:fldCharType="end"/>
            </w:r>
          </w:hyperlink>
        </w:p>
        <w:p w14:paraId="1BC5AB56" w14:textId="113D52FE" w:rsidR="00D47D24" w:rsidRDefault="00AE10F9">
          <w:pPr>
            <w:pStyle w:val="TOC2"/>
            <w:tabs>
              <w:tab w:val="right" w:leader="dot" w:pos="9060"/>
            </w:tabs>
            <w:rPr>
              <w:rFonts w:asciiTheme="minorHAnsi" w:eastAsiaTheme="minorEastAsia" w:hAnsiTheme="minorHAnsi"/>
              <w:noProof/>
              <w:lang w:eastAsia="en-GB"/>
            </w:rPr>
          </w:pPr>
          <w:hyperlink w:anchor="_Toc33094520" w:history="1">
            <w:r w:rsidR="00D47D24" w:rsidRPr="00397BD7">
              <w:rPr>
                <w:rStyle w:val="Hyperlink"/>
                <w:noProof/>
              </w:rPr>
              <w:t>5.2 Nationally regulated food safety management tools</w:t>
            </w:r>
            <w:r w:rsidR="00D47D24">
              <w:rPr>
                <w:noProof/>
                <w:webHidden/>
              </w:rPr>
              <w:tab/>
            </w:r>
            <w:r w:rsidR="00D47D24">
              <w:rPr>
                <w:noProof/>
                <w:webHidden/>
              </w:rPr>
              <w:fldChar w:fldCharType="begin"/>
            </w:r>
            <w:r w:rsidR="00D47D24">
              <w:rPr>
                <w:noProof/>
                <w:webHidden/>
              </w:rPr>
              <w:instrText xml:space="preserve"> PAGEREF _Toc33094520 \h </w:instrText>
            </w:r>
            <w:r w:rsidR="00D47D24">
              <w:rPr>
                <w:noProof/>
                <w:webHidden/>
              </w:rPr>
            </w:r>
            <w:r w:rsidR="00D47D24">
              <w:rPr>
                <w:noProof/>
                <w:webHidden/>
              </w:rPr>
              <w:fldChar w:fldCharType="separate"/>
            </w:r>
            <w:r w:rsidR="003D1BD9">
              <w:rPr>
                <w:noProof/>
                <w:webHidden/>
              </w:rPr>
              <w:t>14</w:t>
            </w:r>
            <w:r w:rsidR="00D47D24">
              <w:rPr>
                <w:noProof/>
                <w:webHidden/>
              </w:rPr>
              <w:fldChar w:fldCharType="end"/>
            </w:r>
          </w:hyperlink>
        </w:p>
        <w:p w14:paraId="094AD27E" w14:textId="23DB12D2" w:rsidR="00D47D24" w:rsidRDefault="00AE10F9" w:rsidP="00D47D24">
          <w:pPr>
            <w:pStyle w:val="TOC1"/>
            <w:rPr>
              <w:rFonts w:asciiTheme="minorHAnsi" w:eastAsiaTheme="minorEastAsia" w:hAnsiTheme="minorHAnsi"/>
              <w:lang w:eastAsia="en-GB"/>
            </w:rPr>
          </w:pPr>
          <w:hyperlink w:anchor="_Toc33094521" w:history="1">
            <w:r w:rsidR="00D47D24" w:rsidRPr="00397BD7">
              <w:rPr>
                <w:rStyle w:val="Hyperlink"/>
              </w:rPr>
              <w:t>6. Assessment criteria</w:t>
            </w:r>
            <w:r w:rsidR="00D47D24">
              <w:rPr>
                <w:webHidden/>
              </w:rPr>
              <w:tab/>
            </w:r>
            <w:r w:rsidR="00D47D24">
              <w:rPr>
                <w:webHidden/>
              </w:rPr>
              <w:fldChar w:fldCharType="begin"/>
            </w:r>
            <w:r w:rsidR="00D47D24">
              <w:rPr>
                <w:webHidden/>
              </w:rPr>
              <w:instrText xml:space="preserve"> PAGEREF _Toc33094521 \h </w:instrText>
            </w:r>
            <w:r w:rsidR="00D47D24">
              <w:rPr>
                <w:webHidden/>
              </w:rPr>
            </w:r>
            <w:r w:rsidR="00D47D24">
              <w:rPr>
                <w:webHidden/>
              </w:rPr>
              <w:fldChar w:fldCharType="separate"/>
            </w:r>
            <w:r w:rsidR="003D1BD9">
              <w:rPr>
                <w:webHidden/>
              </w:rPr>
              <w:t>15</w:t>
            </w:r>
            <w:r w:rsidR="00D47D24">
              <w:rPr>
                <w:webHidden/>
              </w:rPr>
              <w:fldChar w:fldCharType="end"/>
            </w:r>
          </w:hyperlink>
        </w:p>
        <w:p w14:paraId="1679F3DB" w14:textId="5C622519" w:rsidR="00D47D24" w:rsidRDefault="00AE10F9">
          <w:pPr>
            <w:pStyle w:val="TOC2"/>
            <w:tabs>
              <w:tab w:val="right" w:leader="dot" w:pos="9060"/>
            </w:tabs>
            <w:rPr>
              <w:rFonts w:asciiTheme="minorHAnsi" w:eastAsiaTheme="minorEastAsia" w:hAnsiTheme="minorHAnsi"/>
              <w:noProof/>
              <w:lang w:eastAsia="en-GB"/>
            </w:rPr>
          </w:pPr>
          <w:hyperlink w:anchor="_Toc33094522" w:history="1">
            <w:r w:rsidR="00D47D24" w:rsidRPr="00397BD7">
              <w:rPr>
                <w:rStyle w:val="Hyperlink"/>
                <w:noProof/>
              </w:rPr>
              <w:t>6.1 Statutory assessment criteria</w:t>
            </w:r>
            <w:r w:rsidR="00D47D24">
              <w:rPr>
                <w:noProof/>
                <w:webHidden/>
              </w:rPr>
              <w:tab/>
            </w:r>
            <w:r w:rsidR="00D47D24">
              <w:rPr>
                <w:noProof/>
                <w:webHidden/>
              </w:rPr>
              <w:fldChar w:fldCharType="begin"/>
            </w:r>
            <w:r w:rsidR="00D47D24">
              <w:rPr>
                <w:noProof/>
                <w:webHidden/>
              </w:rPr>
              <w:instrText xml:space="preserve"> PAGEREF _Toc33094522 \h </w:instrText>
            </w:r>
            <w:r w:rsidR="00D47D24">
              <w:rPr>
                <w:noProof/>
                <w:webHidden/>
              </w:rPr>
            </w:r>
            <w:r w:rsidR="00D47D24">
              <w:rPr>
                <w:noProof/>
                <w:webHidden/>
              </w:rPr>
              <w:fldChar w:fldCharType="separate"/>
            </w:r>
            <w:r w:rsidR="003D1BD9">
              <w:rPr>
                <w:noProof/>
                <w:webHidden/>
              </w:rPr>
              <w:t>15</w:t>
            </w:r>
            <w:r w:rsidR="00D47D24">
              <w:rPr>
                <w:noProof/>
                <w:webHidden/>
              </w:rPr>
              <w:fldChar w:fldCharType="end"/>
            </w:r>
          </w:hyperlink>
        </w:p>
        <w:p w14:paraId="5F8CE85B" w14:textId="452090C6" w:rsidR="00D47D24" w:rsidRDefault="00AE10F9">
          <w:pPr>
            <w:pStyle w:val="TOC3"/>
            <w:tabs>
              <w:tab w:val="right" w:leader="dot" w:pos="9060"/>
            </w:tabs>
            <w:rPr>
              <w:rFonts w:asciiTheme="minorHAnsi" w:eastAsiaTheme="minorEastAsia" w:hAnsiTheme="minorHAnsi"/>
              <w:noProof/>
              <w:lang w:eastAsia="en-GB"/>
            </w:rPr>
          </w:pPr>
          <w:hyperlink w:anchor="_Toc33094523" w:history="1">
            <w:r w:rsidR="00D47D24" w:rsidRPr="00397BD7">
              <w:rPr>
                <w:rStyle w:val="Hyperlink"/>
                <w:noProof/>
              </w:rPr>
              <w:t>6.1.1 Section 59 considerations</w:t>
            </w:r>
            <w:r w:rsidR="00D47D24">
              <w:rPr>
                <w:noProof/>
                <w:webHidden/>
              </w:rPr>
              <w:tab/>
            </w:r>
            <w:r w:rsidR="00D47D24">
              <w:rPr>
                <w:noProof/>
                <w:webHidden/>
              </w:rPr>
              <w:fldChar w:fldCharType="begin"/>
            </w:r>
            <w:r w:rsidR="00D47D24">
              <w:rPr>
                <w:noProof/>
                <w:webHidden/>
              </w:rPr>
              <w:instrText xml:space="preserve"> PAGEREF _Toc33094523 \h </w:instrText>
            </w:r>
            <w:r w:rsidR="00D47D24">
              <w:rPr>
                <w:noProof/>
                <w:webHidden/>
              </w:rPr>
            </w:r>
            <w:r w:rsidR="00D47D24">
              <w:rPr>
                <w:noProof/>
                <w:webHidden/>
              </w:rPr>
              <w:fldChar w:fldCharType="separate"/>
            </w:r>
            <w:r w:rsidR="003D1BD9">
              <w:rPr>
                <w:noProof/>
                <w:webHidden/>
              </w:rPr>
              <w:t>15</w:t>
            </w:r>
            <w:r w:rsidR="00D47D24">
              <w:rPr>
                <w:noProof/>
                <w:webHidden/>
              </w:rPr>
              <w:fldChar w:fldCharType="end"/>
            </w:r>
          </w:hyperlink>
        </w:p>
        <w:p w14:paraId="3BBAD60F" w14:textId="179394C7" w:rsidR="00D47D24" w:rsidRDefault="00AE10F9">
          <w:pPr>
            <w:pStyle w:val="TOC3"/>
            <w:tabs>
              <w:tab w:val="right" w:leader="dot" w:pos="9060"/>
            </w:tabs>
            <w:rPr>
              <w:rFonts w:asciiTheme="minorHAnsi" w:eastAsiaTheme="minorEastAsia" w:hAnsiTheme="minorHAnsi"/>
              <w:noProof/>
              <w:lang w:eastAsia="en-GB"/>
            </w:rPr>
          </w:pPr>
          <w:hyperlink w:anchor="_Toc33094524" w:history="1">
            <w:r w:rsidR="00D47D24" w:rsidRPr="00397BD7">
              <w:rPr>
                <w:rStyle w:val="Hyperlink"/>
                <w:noProof/>
              </w:rPr>
              <w:t>6.1.2 Section 18 considerations</w:t>
            </w:r>
            <w:r w:rsidR="00D47D24">
              <w:rPr>
                <w:noProof/>
                <w:webHidden/>
              </w:rPr>
              <w:tab/>
            </w:r>
            <w:r w:rsidR="00D47D24">
              <w:rPr>
                <w:noProof/>
                <w:webHidden/>
              </w:rPr>
              <w:fldChar w:fldCharType="begin"/>
            </w:r>
            <w:r w:rsidR="00D47D24">
              <w:rPr>
                <w:noProof/>
                <w:webHidden/>
              </w:rPr>
              <w:instrText xml:space="preserve"> PAGEREF _Toc33094524 \h </w:instrText>
            </w:r>
            <w:r w:rsidR="00D47D24">
              <w:rPr>
                <w:noProof/>
                <w:webHidden/>
              </w:rPr>
            </w:r>
            <w:r w:rsidR="00D47D24">
              <w:rPr>
                <w:noProof/>
                <w:webHidden/>
              </w:rPr>
              <w:fldChar w:fldCharType="separate"/>
            </w:r>
            <w:r w:rsidR="003D1BD9">
              <w:rPr>
                <w:noProof/>
                <w:webHidden/>
              </w:rPr>
              <w:t>15</w:t>
            </w:r>
            <w:r w:rsidR="00D47D24">
              <w:rPr>
                <w:noProof/>
                <w:webHidden/>
              </w:rPr>
              <w:fldChar w:fldCharType="end"/>
            </w:r>
          </w:hyperlink>
        </w:p>
        <w:p w14:paraId="09B2BF9D" w14:textId="5335F3EC" w:rsidR="00D47D24" w:rsidRDefault="00AE10F9" w:rsidP="00D47D24">
          <w:pPr>
            <w:pStyle w:val="TOC1"/>
            <w:rPr>
              <w:rFonts w:asciiTheme="minorHAnsi" w:eastAsiaTheme="minorEastAsia" w:hAnsiTheme="minorHAnsi"/>
              <w:lang w:eastAsia="en-GB"/>
            </w:rPr>
          </w:pPr>
          <w:hyperlink w:anchor="_Toc33094525" w:history="1">
            <w:r w:rsidR="00D47D24" w:rsidRPr="00397BD7">
              <w:rPr>
                <w:rStyle w:val="Hyperlink"/>
              </w:rPr>
              <w:t>7. References</w:t>
            </w:r>
            <w:r w:rsidR="00D47D24">
              <w:rPr>
                <w:webHidden/>
              </w:rPr>
              <w:tab/>
            </w:r>
            <w:r w:rsidR="00D47D24">
              <w:rPr>
                <w:webHidden/>
              </w:rPr>
              <w:fldChar w:fldCharType="begin"/>
            </w:r>
            <w:r w:rsidR="00D47D24">
              <w:rPr>
                <w:webHidden/>
              </w:rPr>
              <w:instrText xml:space="preserve"> PAGEREF _Toc33094525 \h </w:instrText>
            </w:r>
            <w:r w:rsidR="00D47D24">
              <w:rPr>
                <w:webHidden/>
              </w:rPr>
            </w:r>
            <w:r w:rsidR="00D47D24">
              <w:rPr>
                <w:webHidden/>
              </w:rPr>
              <w:fldChar w:fldCharType="separate"/>
            </w:r>
            <w:r w:rsidR="003D1BD9">
              <w:rPr>
                <w:webHidden/>
              </w:rPr>
              <w:t>17</w:t>
            </w:r>
            <w:r w:rsidR="00D47D24">
              <w:rPr>
                <w:webHidden/>
              </w:rPr>
              <w:fldChar w:fldCharType="end"/>
            </w:r>
          </w:hyperlink>
        </w:p>
        <w:p w14:paraId="296DAC6C" w14:textId="1FE8340E" w:rsidR="00D47D24" w:rsidRDefault="00AE10F9" w:rsidP="00D47D24">
          <w:pPr>
            <w:pStyle w:val="TOC1"/>
            <w:rPr>
              <w:rFonts w:asciiTheme="minorHAnsi" w:eastAsiaTheme="minorEastAsia" w:hAnsiTheme="minorHAnsi"/>
              <w:lang w:eastAsia="en-GB"/>
            </w:rPr>
          </w:pPr>
          <w:hyperlink w:anchor="_Toc33094526" w:history="1">
            <w:r w:rsidR="00D47D24" w:rsidRPr="00397BD7">
              <w:rPr>
                <w:rStyle w:val="Hyperlink"/>
              </w:rPr>
              <w:t>Appendix 1</w:t>
            </w:r>
            <w:r w:rsidR="00D47D24">
              <w:rPr>
                <w:rStyle w:val="Hyperlink"/>
              </w:rPr>
              <w:t xml:space="preserve"> </w:t>
            </w:r>
            <w:r w:rsidR="00D47D24" w:rsidRPr="00397BD7">
              <w:rPr>
                <w:rStyle w:val="Hyperlink"/>
              </w:rPr>
              <w:t>Current measures to manage food safety risks</w:t>
            </w:r>
            <w:r w:rsidR="00D47D24">
              <w:rPr>
                <w:webHidden/>
              </w:rPr>
              <w:tab/>
            </w:r>
            <w:r w:rsidR="00D47D24">
              <w:rPr>
                <w:webHidden/>
              </w:rPr>
              <w:fldChar w:fldCharType="begin"/>
            </w:r>
            <w:r w:rsidR="00D47D24">
              <w:rPr>
                <w:webHidden/>
              </w:rPr>
              <w:instrText xml:space="preserve"> PAGEREF _Toc33094526 \h </w:instrText>
            </w:r>
            <w:r w:rsidR="00D47D24">
              <w:rPr>
                <w:webHidden/>
              </w:rPr>
            </w:r>
            <w:r w:rsidR="00D47D24">
              <w:rPr>
                <w:webHidden/>
              </w:rPr>
              <w:fldChar w:fldCharType="separate"/>
            </w:r>
            <w:r w:rsidR="003D1BD9">
              <w:rPr>
                <w:webHidden/>
              </w:rPr>
              <w:t>20</w:t>
            </w:r>
            <w:r w:rsidR="00D47D24">
              <w:rPr>
                <w:webHidden/>
              </w:rPr>
              <w:fldChar w:fldCharType="end"/>
            </w:r>
          </w:hyperlink>
        </w:p>
        <w:p w14:paraId="6F7C8286" w14:textId="38DD8AA7" w:rsidR="00D47D24" w:rsidRDefault="00AE10F9">
          <w:pPr>
            <w:pStyle w:val="TOC2"/>
            <w:tabs>
              <w:tab w:val="left" w:pos="660"/>
              <w:tab w:val="right" w:leader="dot" w:pos="9060"/>
            </w:tabs>
            <w:rPr>
              <w:rFonts w:asciiTheme="minorHAnsi" w:eastAsiaTheme="minorEastAsia" w:hAnsiTheme="minorHAnsi"/>
              <w:noProof/>
              <w:lang w:eastAsia="en-GB"/>
            </w:rPr>
          </w:pPr>
          <w:hyperlink w:anchor="_Toc33094527" w:history="1">
            <w:r w:rsidR="00D47D24" w:rsidRPr="00397BD7">
              <w:rPr>
                <w:rStyle w:val="Hyperlink"/>
                <w:noProof/>
              </w:rPr>
              <w:t>1.</w:t>
            </w:r>
            <w:r w:rsidR="00D47D24">
              <w:rPr>
                <w:rFonts w:asciiTheme="minorHAnsi" w:eastAsiaTheme="minorEastAsia" w:hAnsiTheme="minorHAnsi"/>
                <w:noProof/>
                <w:lang w:eastAsia="en-GB"/>
              </w:rPr>
              <w:tab/>
            </w:r>
            <w:r w:rsidR="00D47D24" w:rsidRPr="00397BD7">
              <w:rPr>
                <w:rStyle w:val="Hyperlink"/>
                <w:noProof/>
              </w:rPr>
              <w:t>Regulatory measures</w:t>
            </w:r>
            <w:r w:rsidR="00D47D24">
              <w:rPr>
                <w:noProof/>
                <w:webHidden/>
              </w:rPr>
              <w:tab/>
            </w:r>
            <w:r w:rsidR="00D47D24">
              <w:rPr>
                <w:noProof/>
                <w:webHidden/>
              </w:rPr>
              <w:fldChar w:fldCharType="begin"/>
            </w:r>
            <w:r w:rsidR="00D47D24">
              <w:rPr>
                <w:noProof/>
                <w:webHidden/>
              </w:rPr>
              <w:instrText xml:space="preserve"> PAGEREF _Toc33094527 \h </w:instrText>
            </w:r>
            <w:r w:rsidR="00D47D24">
              <w:rPr>
                <w:noProof/>
                <w:webHidden/>
              </w:rPr>
            </w:r>
            <w:r w:rsidR="00D47D24">
              <w:rPr>
                <w:noProof/>
                <w:webHidden/>
              </w:rPr>
              <w:fldChar w:fldCharType="separate"/>
            </w:r>
            <w:r w:rsidR="003D1BD9">
              <w:rPr>
                <w:noProof/>
                <w:webHidden/>
              </w:rPr>
              <w:t>20</w:t>
            </w:r>
            <w:r w:rsidR="00D47D24">
              <w:rPr>
                <w:noProof/>
                <w:webHidden/>
              </w:rPr>
              <w:fldChar w:fldCharType="end"/>
            </w:r>
          </w:hyperlink>
        </w:p>
        <w:p w14:paraId="16A83FF9" w14:textId="7ADA1D31" w:rsidR="00D47D24" w:rsidRDefault="00AE10F9">
          <w:pPr>
            <w:pStyle w:val="TOC2"/>
            <w:tabs>
              <w:tab w:val="left" w:pos="660"/>
              <w:tab w:val="right" w:leader="dot" w:pos="9060"/>
            </w:tabs>
            <w:rPr>
              <w:rFonts w:asciiTheme="minorHAnsi" w:eastAsiaTheme="minorEastAsia" w:hAnsiTheme="minorHAnsi"/>
              <w:noProof/>
              <w:lang w:eastAsia="en-GB"/>
            </w:rPr>
          </w:pPr>
          <w:hyperlink w:anchor="_Toc33094528" w:history="1">
            <w:r w:rsidR="00D47D24" w:rsidRPr="00397BD7">
              <w:rPr>
                <w:rStyle w:val="Hyperlink"/>
                <w:noProof/>
              </w:rPr>
              <w:t>2.</w:t>
            </w:r>
            <w:r w:rsidR="00D47D24">
              <w:rPr>
                <w:rFonts w:asciiTheme="minorHAnsi" w:eastAsiaTheme="minorEastAsia" w:hAnsiTheme="minorHAnsi"/>
                <w:noProof/>
                <w:lang w:eastAsia="en-GB"/>
              </w:rPr>
              <w:tab/>
            </w:r>
            <w:r w:rsidR="00D47D24" w:rsidRPr="00397BD7">
              <w:rPr>
                <w:rStyle w:val="Hyperlink"/>
                <w:noProof/>
              </w:rPr>
              <w:t>Other food safety tools</w:t>
            </w:r>
            <w:r w:rsidR="00D47D24">
              <w:rPr>
                <w:noProof/>
                <w:webHidden/>
              </w:rPr>
              <w:tab/>
            </w:r>
            <w:r w:rsidR="00D47D24">
              <w:rPr>
                <w:noProof/>
                <w:webHidden/>
              </w:rPr>
              <w:fldChar w:fldCharType="begin"/>
            </w:r>
            <w:r w:rsidR="00D47D24">
              <w:rPr>
                <w:noProof/>
                <w:webHidden/>
              </w:rPr>
              <w:instrText xml:space="preserve"> PAGEREF _Toc33094528 \h </w:instrText>
            </w:r>
            <w:r w:rsidR="00D47D24">
              <w:rPr>
                <w:noProof/>
                <w:webHidden/>
              </w:rPr>
            </w:r>
            <w:r w:rsidR="00D47D24">
              <w:rPr>
                <w:noProof/>
                <w:webHidden/>
              </w:rPr>
              <w:fldChar w:fldCharType="separate"/>
            </w:r>
            <w:r w:rsidR="003D1BD9">
              <w:rPr>
                <w:noProof/>
                <w:webHidden/>
              </w:rPr>
              <w:t>20</w:t>
            </w:r>
            <w:r w:rsidR="00D47D24">
              <w:rPr>
                <w:noProof/>
                <w:webHidden/>
              </w:rPr>
              <w:fldChar w:fldCharType="end"/>
            </w:r>
          </w:hyperlink>
        </w:p>
        <w:p w14:paraId="4FAAFF82" w14:textId="30CEEDDC" w:rsidR="00D47D24" w:rsidRDefault="00AE10F9">
          <w:pPr>
            <w:pStyle w:val="TOC3"/>
            <w:tabs>
              <w:tab w:val="left" w:pos="1100"/>
              <w:tab w:val="right" w:leader="dot" w:pos="9060"/>
            </w:tabs>
            <w:rPr>
              <w:rFonts w:asciiTheme="minorHAnsi" w:eastAsiaTheme="minorEastAsia" w:hAnsiTheme="minorHAnsi"/>
              <w:noProof/>
              <w:lang w:eastAsia="en-GB"/>
            </w:rPr>
          </w:pPr>
          <w:hyperlink w:anchor="_Toc33094529" w:history="1">
            <w:r w:rsidR="00D47D24" w:rsidRPr="00397BD7">
              <w:rPr>
                <w:rStyle w:val="Hyperlink"/>
                <w:noProof/>
                <w:lang w:val="en-US"/>
              </w:rPr>
              <w:t>2.1</w:t>
            </w:r>
            <w:r w:rsidR="00D47D24">
              <w:rPr>
                <w:rFonts w:asciiTheme="minorHAnsi" w:eastAsiaTheme="minorEastAsia" w:hAnsiTheme="minorHAnsi"/>
                <w:noProof/>
                <w:lang w:eastAsia="en-GB"/>
              </w:rPr>
              <w:tab/>
            </w:r>
            <w:r w:rsidR="00D47D24" w:rsidRPr="00397BD7">
              <w:rPr>
                <w:rStyle w:val="Hyperlink"/>
                <w:noProof/>
                <w:lang w:val="en-US"/>
              </w:rPr>
              <w:t>Voluntary food safety training</w:t>
            </w:r>
            <w:r w:rsidR="00D47D24">
              <w:rPr>
                <w:noProof/>
                <w:webHidden/>
              </w:rPr>
              <w:tab/>
            </w:r>
            <w:r w:rsidR="00D47D24">
              <w:rPr>
                <w:noProof/>
                <w:webHidden/>
              </w:rPr>
              <w:fldChar w:fldCharType="begin"/>
            </w:r>
            <w:r w:rsidR="00D47D24">
              <w:rPr>
                <w:noProof/>
                <w:webHidden/>
              </w:rPr>
              <w:instrText xml:space="preserve"> PAGEREF _Toc33094529 \h </w:instrText>
            </w:r>
            <w:r w:rsidR="00D47D24">
              <w:rPr>
                <w:noProof/>
                <w:webHidden/>
              </w:rPr>
            </w:r>
            <w:r w:rsidR="00D47D24">
              <w:rPr>
                <w:noProof/>
                <w:webHidden/>
              </w:rPr>
              <w:fldChar w:fldCharType="separate"/>
            </w:r>
            <w:r w:rsidR="003D1BD9">
              <w:rPr>
                <w:noProof/>
                <w:webHidden/>
              </w:rPr>
              <w:t>20</w:t>
            </w:r>
            <w:r w:rsidR="00D47D24">
              <w:rPr>
                <w:noProof/>
                <w:webHidden/>
              </w:rPr>
              <w:fldChar w:fldCharType="end"/>
            </w:r>
          </w:hyperlink>
        </w:p>
        <w:p w14:paraId="6E190613" w14:textId="036764F4" w:rsidR="00D47D24" w:rsidRDefault="00AE10F9">
          <w:pPr>
            <w:pStyle w:val="TOC3"/>
            <w:tabs>
              <w:tab w:val="left" w:pos="1100"/>
              <w:tab w:val="right" w:leader="dot" w:pos="9060"/>
            </w:tabs>
            <w:rPr>
              <w:rFonts w:asciiTheme="minorHAnsi" w:eastAsiaTheme="minorEastAsia" w:hAnsiTheme="minorHAnsi"/>
              <w:noProof/>
              <w:lang w:eastAsia="en-GB"/>
            </w:rPr>
          </w:pPr>
          <w:hyperlink w:anchor="_Toc33094530" w:history="1">
            <w:r w:rsidR="00D47D24" w:rsidRPr="00397BD7">
              <w:rPr>
                <w:rStyle w:val="Hyperlink"/>
                <w:noProof/>
                <w:lang w:val="en-US"/>
              </w:rPr>
              <w:t>2.2</w:t>
            </w:r>
            <w:r w:rsidR="00D47D24">
              <w:rPr>
                <w:rFonts w:asciiTheme="minorHAnsi" w:eastAsiaTheme="minorEastAsia" w:hAnsiTheme="minorHAnsi"/>
                <w:noProof/>
                <w:lang w:eastAsia="en-GB"/>
              </w:rPr>
              <w:tab/>
            </w:r>
            <w:r w:rsidR="00D47D24" w:rsidRPr="00397BD7">
              <w:rPr>
                <w:rStyle w:val="Hyperlink"/>
                <w:noProof/>
                <w:lang w:val="en-US"/>
              </w:rPr>
              <w:t>Performance rating scheme</w:t>
            </w:r>
            <w:r w:rsidR="00D47D24">
              <w:rPr>
                <w:noProof/>
                <w:webHidden/>
              </w:rPr>
              <w:tab/>
            </w:r>
            <w:r w:rsidR="00D47D24">
              <w:rPr>
                <w:noProof/>
                <w:webHidden/>
              </w:rPr>
              <w:fldChar w:fldCharType="begin"/>
            </w:r>
            <w:r w:rsidR="00D47D24">
              <w:rPr>
                <w:noProof/>
                <w:webHidden/>
              </w:rPr>
              <w:instrText xml:space="preserve"> PAGEREF _Toc33094530 \h </w:instrText>
            </w:r>
            <w:r w:rsidR="00D47D24">
              <w:rPr>
                <w:noProof/>
                <w:webHidden/>
              </w:rPr>
            </w:r>
            <w:r w:rsidR="00D47D24">
              <w:rPr>
                <w:noProof/>
                <w:webHidden/>
              </w:rPr>
              <w:fldChar w:fldCharType="separate"/>
            </w:r>
            <w:r w:rsidR="003D1BD9">
              <w:rPr>
                <w:noProof/>
                <w:webHidden/>
              </w:rPr>
              <w:t>20</w:t>
            </w:r>
            <w:r w:rsidR="00D47D24">
              <w:rPr>
                <w:noProof/>
                <w:webHidden/>
              </w:rPr>
              <w:fldChar w:fldCharType="end"/>
            </w:r>
          </w:hyperlink>
        </w:p>
        <w:p w14:paraId="510AFDAA" w14:textId="30F0CB38" w:rsidR="00D47D24" w:rsidRDefault="00AE10F9">
          <w:pPr>
            <w:pStyle w:val="TOC3"/>
            <w:tabs>
              <w:tab w:val="left" w:pos="1100"/>
              <w:tab w:val="right" w:leader="dot" w:pos="9060"/>
            </w:tabs>
            <w:rPr>
              <w:rFonts w:asciiTheme="minorHAnsi" w:eastAsiaTheme="minorEastAsia" w:hAnsiTheme="minorHAnsi"/>
              <w:noProof/>
              <w:lang w:eastAsia="en-GB"/>
            </w:rPr>
          </w:pPr>
          <w:hyperlink w:anchor="_Toc33094531" w:history="1">
            <w:r w:rsidR="00D47D24" w:rsidRPr="00397BD7">
              <w:rPr>
                <w:rStyle w:val="Hyperlink"/>
                <w:noProof/>
              </w:rPr>
              <w:t>2.3</w:t>
            </w:r>
            <w:r w:rsidR="00D47D24">
              <w:rPr>
                <w:rFonts w:asciiTheme="minorHAnsi" w:eastAsiaTheme="minorEastAsia" w:hAnsiTheme="minorHAnsi"/>
                <w:noProof/>
                <w:lang w:eastAsia="en-GB"/>
              </w:rPr>
              <w:tab/>
            </w:r>
            <w:r w:rsidR="00D47D24" w:rsidRPr="00397BD7">
              <w:rPr>
                <w:rStyle w:val="Hyperlink"/>
                <w:noProof/>
              </w:rPr>
              <w:t>Monitoring templates</w:t>
            </w:r>
            <w:r w:rsidR="00D47D24">
              <w:rPr>
                <w:noProof/>
                <w:webHidden/>
              </w:rPr>
              <w:tab/>
            </w:r>
            <w:r w:rsidR="00D47D24">
              <w:rPr>
                <w:noProof/>
                <w:webHidden/>
              </w:rPr>
              <w:fldChar w:fldCharType="begin"/>
            </w:r>
            <w:r w:rsidR="00D47D24">
              <w:rPr>
                <w:noProof/>
                <w:webHidden/>
              </w:rPr>
              <w:instrText xml:space="preserve"> PAGEREF _Toc33094531 \h </w:instrText>
            </w:r>
            <w:r w:rsidR="00D47D24">
              <w:rPr>
                <w:noProof/>
                <w:webHidden/>
              </w:rPr>
            </w:r>
            <w:r w:rsidR="00D47D24">
              <w:rPr>
                <w:noProof/>
                <w:webHidden/>
              </w:rPr>
              <w:fldChar w:fldCharType="separate"/>
            </w:r>
            <w:r w:rsidR="003D1BD9">
              <w:rPr>
                <w:noProof/>
                <w:webHidden/>
              </w:rPr>
              <w:t>20</w:t>
            </w:r>
            <w:r w:rsidR="00D47D24">
              <w:rPr>
                <w:noProof/>
                <w:webHidden/>
              </w:rPr>
              <w:fldChar w:fldCharType="end"/>
            </w:r>
          </w:hyperlink>
        </w:p>
        <w:p w14:paraId="2DB238DA" w14:textId="22DCC8B4" w:rsidR="00D47D24" w:rsidRDefault="00AE10F9">
          <w:pPr>
            <w:pStyle w:val="TOC3"/>
            <w:tabs>
              <w:tab w:val="left" w:pos="1100"/>
              <w:tab w:val="right" w:leader="dot" w:pos="9060"/>
            </w:tabs>
            <w:rPr>
              <w:rFonts w:asciiTheme="minorHAnsi" w:eastAsiaTheme="minorEastAsia" w:hAnsiTheme="minorHAnsi"/>
              <w:noProof/>
              <w:lang w:eastAsia="en-GB"/>
            </w:rPr>
          </w:pPr>
          <w:hyperlink w:anchor="_Toc33094532" w:history="1">
            <w:r w:rsidR="00D47D24" w:rsidRPr="00397BD7">
              <w:rPr>
                <w:rStyle w:val="Hyperlink"/>
                <w:noProof/>
              </w:rPr>
              <w:t>2.4</w:t>
            </w:r>
            <w:r w:rsidR="00D47D24">
              <w:rPr>
                <w:rFonts w:asciiTheme="minorHAnsi" w:eastAsiaTheme="minorEastAsia" w:hAnsiTheme="minorHAnsi"/>
                <w:noProof/>
                <w:lang w:eastAsia="en-GB"/>
              </w:rPr>
              <w:tab/>
            </w:r>
            <w:r w:rsidR="00D47D24" w:rsidRPr="00397BD7">
              <w:rPr>
                <w:rStyle w:val="Hyperlink"/>
                <w:noProof/>
              </w:rPr>
              <w:t>Food safety culture</w:t>
            </w:r>
            <w:r w:rsidR="00D47D24">
              <w:rPr>
                <w:noProof/>
                <w:webHidden/>
              </w:rPr>
              <w:tab/>
            </w:r>
            <w:r w:rsidR="00D47D24">
              <w:rPr>
                <w:noProof/>
                <w:webHidden/>
              </w:rPr>
              <w:fldChar w:fldCharType="begin"/>
            </w:r>
            <w:r w:rsidR="00D47D24">
              <w:rPr>
                <w:noProof/>
                <w:webHidden/>
              </w:rPr>
              <w:instrText xml:space="preserve"> PAGEREF _Toc33094532 \h </w:instrText>
            </w:r>
            <w:r w:rsidR="00D47D24">
              <w:rPr>
                <w:noProof/>
                <w:webHidden/>
              </w:rPr>
            </w:r>
            <w:r w:rsidR="00D47D24">
              <w:rPr>
                <w:noProof/>
                <w:webHidden/>
              </w:rPr>
              <w:fldChar w:fldCharType="separate"/>
            </w:r>
            <w:r w:rsidR="003D1BD9">
              <w:rPr>
                <w:noProof/>
                <w:webHidden/>
              </w:rPr>
              <w:t>21</w:t>
            </w:r>
            <w:r w:rsidR="00D47D24">
              <w:rPr>
                <w:noProof/>
                <w:webHidden/>
              </w:rPr>
              <w:fldChar w:fldCharType="end"/>
            </w:r>
          </w:hyperlink>
        </w:p>
        <w:p w14:paraId="293BD1B9" w14:textId="71E1D2D2" w:rsidR="00D47D24" w:rsidRDefault="00AE10F9" w:rsidP="00D47D24">
          <w:pPr>
            <w:pStyle w:val="TOC1"/>
            <w:rPr>
              <w:rFonts w:asciiTheme="minorHAnsi" w:eastAsiaTheme="minorEastAsia" w:hAnsiTheme="minorHAnsi"/>
              <w:lang w:eastAsia="en-GB"/>
            </w:rPr>
          </w:pPr>
          <w:hyperlink w:anchor="_Toc33094533" w:history="1">
            <w:r w:rsidR="00D47D24" w:rsidRPr="00397BD7">
              <w:rPr>
                <w:rStyle w:val="Hyperlink"/>
              </w:rPr>
              <w:t>Appendix 2 Food regulatory activities and decisions</w:t>
            </w:r>
            <w:r w:rsidR="00D47D24">
              <w:rPr>
                <w:webHidden/>
              </w:rPr>
              <w:tab/>
            </w:r>
            <w:r w:rsidR="00D47D24">
              <w:rPr>
                <w:webHidden/>
              </w:rPr>
              <w:fldChar w:fldCharType="begin"/>
            </w:r>
            <w:r w:rsidR="00D47D24">
              <w:rPr>
                <w:webHidden/>
              </w:rPr>
              <w:instrText xml:space="preserve"> PAGEREF _Toc33094533 \h </w:instrText>
            </w:r>
            <w:r w:rsidR="00D47D24">
              <w:rPr>
                <w:webHidden/>
              </w:rPr>
            </w:r>
            <w:r w:rsidR="00D47D24">
              <w:rPr>
                <w:webHidden/>
              </w:rPr>
              <w:fldChar w:fldCharType="separate"/>
            </w:r>
            <w:r w:rsidR="003D1BD9">
              <w:rPr>
                <w:webHidden/>
              </w:rPr>
              <w:t>22</w:t>
            </w:r>
            <w:r w:rsidR="00D47D24">
              <w:rPr>
                <w:webHidden/>
              </w:rPr>
              <w:fldChar w:fldCharType="end"/>
            </w:r>
          </w:hyperlink>
        </w:p>
        <w:p w14:paraId="76E96777" w14:textId="04B0CAB0" w:rsidR="00D47D24" w:rsidRDefault="00AE10F9">
          <w:pPr>
            <w:pStyle w:val="TOC2"/>
            <w:tabs>
              <w:tab w:val="left" w:pos="660"/>
              <w:tab w:val="right" w:leader="dot" w:pos="9060"/>
            </w:tabs>
            <w:rPr>
              <w:rFonts w:asciiTheme="minorHAnsi" w:eastAsiaTheme="minorEastAsia" w:hAnsiTheme="minorHAnsi"/>
              <w:noProof/>
              <w:lang w:eastAsia="en-GB"/>
            </w:rPr>
          </w:pPr>
          <w:hyperlink w:anchor="_Toc33094534" w:history="1">
            <w:r w:rsidR="00D47D24" w:rsidRPr="00397BD7">
              <w:rPr>
                <w:rStyle w:val="Hyperlink"/>
                <w:noProof/>
              </w:rPr>
              <w:t>1.</w:t>
            </w:r>
            <w:r w:rsidR="00D47D24">
              <w:rPr>
                <w:rFonts w:asciiTheme="minorHAnsi" w:eastAsiaTheme="minorEastAsia" w:hAnsiTheme="minorHAnsi"/>
                <w:noProof/>
                <w:lang w:eastAsia="en-GB"/>
              </w:rPr>
              <w:tab/>
            </w:r>
            <w:r w:rsidR="00D47D24" w:rsidRPr="00397BD7">
              <w:rPr>
                <w:rStyle w:val="Hyperlink"/>
                <w:noProof/>
              </w:rPr>
              <w:t>Ministerial policy guideline (2003)</w:t>
            </w:r>
            <w:r w:rsidR="00D47D24">
              <w:rPr>
                <w:noProof/>
                <w:webHidden/>
              </w:rPr>
              <w:tab/>
            </w:r>
            <w:r w:rsidR="00D47D24">
              <w:rPr>
                <w:noProof/>
                <w:webHidden/>
              </w:rPr>
              <w:fldChar w:fldCharType="begin"/>
            </w:r>
            <w:r w:rsidR="00D47D24">
              <w:rPr>
                <w:noProof/>
                <w:webHidden/>
              </w:rPr>
              <w:instrText xml:space="preserve"> PAGEREF _Toc33094534 \h </w:instrText>
            </w:r>
            <w:r w:rsidR="00D47D24">
              <w:rPr>
                <w:noProof/>
                <w:webHidden/>
              </w:rPr>
            </w:r>
            <w:r w:rsidR="00D47D24">
              <w:rPr>
                <w:noProof/>
                <w:webHidden/>
              </w:rPr>
              <w:fldChar w:fldCharType="separate"/>
            </w:r>
            <w:r w:rsidR="003D1BD9">
              <w:rPr>
                <w:noProof/>
                <w:webHidden/>
              </w:rPr>
              <w:t>22</w:t>
            </w:r>
            <w:r w:rsidR="00D47D24">
              <w:rPr>
                <w:noProof/>
                <w:webHidden/>
              </w:rPr>
              <w:fldChar w:fldCharType="end"/>
            </w:r>
          </w:hyperlink>
        </w:p>
        <w:p w14:paraId="73334873" w14:textId="07509096" w:rsidR="00D47D24" w:rsidRDefault="00AE10F9">
          <w:pPr>
            <w:pStyle w:val="TOC2"/>
            <w:tabs>
              <w:tab w:val="left" w:pos="660"/>
              <w:tab w:val="right" w:leader="dot" w:pos="9060"/>
            </w:tabs>
            <w:rPr>
              <w:rFonts w:asciiTheme="minorHAnsi" w:eastAsiaTheme="minorEastAsia" w:hAnsiTheme="minorHAnsi"/>
              <w:noProof/>
              <w:lang w:eastAsia="en-GB"/>
            </w:rPr>
          </w:pPr>
          <w:hyperlink w:anchor="_Toc33094535" w:history="1">
            <w:r w:rsidR="00D47D24" w:rsidRPr="00397BD7">
              <w:rPr>
                <w:rStyle w:val="Hyperlink"/>
                <w:noProof/>
              </w:rPr>
              <w:t>2.</w:t>
            </w:r>
            <w:r w:rsidR="00D47D24">
              <w:rPr>
                <w:rFonts w:asciiTheme="minorHAnsi" w:eastAsiaTheme="minorEastAsia" w:hAnsiTheme="minorHAnsi"/>
                <w:noProof/>
                <w:lang w:eastAsia="en-GB"/>
              </w:rPr>
              <w:tab/>
            </w:r>
            <w:r w:rsidR="00D47D24" w:rsidRPr="00397BD7">
              <w:rPr>
                <w:rStyle w:val="Hyperlink"/>
                <w:noProof/>
              </w:rPr>
              <w:t>Risk profiling framework</w:t>
            </w:r>
            <w:r w:rsidR="00D47D24">
              <w:rPr>
                <w:noProof/>
                <w:webHidden/>
              </w:rPr>
              <w:tab/>
            </w:r>
            <w:r w:rsidR="00D47D24">
              <w:rPr>
                <w:noProof/>
                <w:webHidden/>
              </w:rPr>
              <w:fldChar w:fldCharType="begin"/>
            </w:r>
            <w:r w:rsidR="00D47D24">
              <w:rPr>
                <w:noProof/>
                <w:webHidden/>
              </w:rPr>
              <w:instrText xml:space="preserve"> PAGEREF _Toc33094535 \h </w:instrText>
            </w:r>
            <w:r w:rsidR="00D47D24">
              <w:rPr>
                <w:noProof/>
                <w:webHidden/>
              </w:rPr>
            </w:r>
            <w:r w:rsidR="00D47D24">
              <w:rPr>
                <w:noProof/>
                <w:webHidden/>
              </w:rPr>
              <w:fldChar w:fldCharType="separate"/>
            </w:r>
            <w:r w:rsidR="003D1BD9">
              <w:rPr>
                <w:noProof/>
                <w:webHidden/>
              </w:rPr>
              <w:t>22</w:t>
            </w:r>
            <w:r w:rsidR="00D47D24">
              <w:rPr>
                <w:noProof/>
                <w:webHidden/>
              </w:rPr>
              <w:fldChar w:fldCharType="end"/>
            </w:r>
          </w:hyperlink>
        </w:p>
        <w:p w14:paraId="116F4650" w14:textId="28490EF7" w:rsidR="00D47D24" w:rsidRDefault="00AE10F9">
          <w:pPr>
            <w:pStyle w:val="TOC2"/>
            <w:tabs>
              <w:tab w:val="left" w:pos="660"/>
              <w:tab w:val="right" w:leader="dot" w:pos="9060"/>
            </w:tabs>
            <w:rPr>
              <w:rFonts w:asciiTheme="minorHAnsi" w:eastAsiaTheme="minorEastAsia" w:hAnsiTheme="minorHAnsi"/>
              <w:noProof/>
              <w:lang w:eastAsia="en-GB"/>
            </w:rPr>
          </w:pPr>
          <w:hyperlink w:anchor="_Toc33094536" w:history="1">
            <w:r w:rsidR="00D47D24" w:rsidRPr="00397BD7">
              <w:rPr>
                <w:rStyle w:val="Hyperlink"/>
                <w:noProof/>
              </w:rPr>
              <w:t>3.</w:t>
            </w:r>
            <w:r w:rsidR="00D47D24">
              <w:rPr>
                <w:rFonts w:asciiTheme="minorHAnsi" w:eastAsiaTheme="minorEastAsia" w:hAnsiTheme="minorHAnsi"/>
                <w:noProof/>
                <w:lang w:eastAsia="en-GB"/>
              </w:rPr>
              <w:tab/>
            </w:r>
            <w:r w:rsidR="00D47D24" w:rsidRPr="00397BD7">
              <w:rPr>
                <w:rStyle w:val="Hyperlink"/>
                <w:noProof/>
              </w:rPr>
              <w:t>Revised ministerial policy guideline (2011)</w:t>
            </w:r>
            <w:r w:rsidR="00D47D24">
              <w:rPr>
                <w:noProof/>
                <w:webHidden/>
              </w:rPr>
              <w:tab/>
            </w:r>
            <w:r w:rsidR="00D47D24">
              <w:rPr>
                <w:noProof/>
                <w:webHidden/>
              </w:rPr>
              <w:fldChar w:fldCharType="begin"/>
            </w:r>
            <w:r w:rsidR="00D47D24">
              <w:rPr>
                <w:noProof/>
                <w:webHidden/>
              </w:rPr>
              <w:instrText xml:space="preserve"> PAGEREF _Toc33094536 \h </w:instrText>
            </w:r>
            <w:r w:rsidR="00D47D24">
              <w:rPr>
                <w:noProof/>
                <w:webHidden/>
              </w:rPr>
            </w:r>
            <w:r w:rsidR="00D47D24">
              <w:rPr>
                <w:noProof/>
                <w:webHidden/>
              </w:rPr>
              <w:fldChar w:fldCharType="separate"/>
            </w:r>
            <w:r w:rsidR="003D1BD9">
              <w:rPr>
                <w:noProof/>
                <w:webHidden/>
              </w:rPr>
              <w:t>22</w:t>
            </w:r>
            <w:r w:rsidR="00D47D24">
              <w:rPr>
                <w:noProof/>
                <w:webHidden/>
              </w:rPr>
              <w:fldChar w:fldCharType="end"/>
            </w:r>
          </w:hyperlink>
        </w:p>
        <w:p w14:paraId="74E91924" w14:textId="0201CB52" w:rsidR="00D47D24" w:rsidRDefault="00AE10F9">
          <w:pPr>
            <w:pStyle w:val="TOC2"/>
            <w:tabs>
              <w:tab w:val="left" w:pos="660"/>
              <w:tab w:val="right" w:leader="dot" w:pos="9060"/>
            </w:tabs>
            <w:rPr>
              <w:rFonts w:asciiTheme="minorHAnsi" w:eastAsiaTheme="minorEastAsia" w:hAnsiTheme="minorHAnsi"/>
              <w:noProof/>
              <w:lang w:eastAsia="en-GB"/>
            </w:rPr>
          </w:pPr>
          <w:hyperlink w:anchor="_Toc33094537" w:history="1">
            <w:r w:rsidR="00D47D24" w:rsidRPr="00397BD7">
              <w:rPr>
                <w:rStyle w:val="Hyperlink"/>
                <w:noProof/>
                <w:lang w:eastAsia="en-AU"/>
              </w:rPr>
              <w:t>4.</w:t>
            </w:r>
            <w:r w:rsidR="00D47D24">
              <w:rPr>
                <w:rFonts w:asciiTheme="minorHAnsi" w:eastAsiaTheme="minorEastAsia" w:hAnsiTheme="minorHAnsi"/>
                <w:noProof/>
                <w:lang w:eastAsia="en-GB"/>
              </w:rPr>
              <w:tab/>
            </w:r>
            <w:r w:rsidR="00D47D24" w:rsidRPr="00397BD7">
              <w:rPr>
                <w:rStyle w:val="Hyperlink"/>
                <w:noProof/>
              </w:rPr>
              <w:t>Food Safety Management Working Group</w:t>
            </w:r>
            <w:r w:rsidR="00D47D24">
              <w:rPr>
                <w:noProof/>
                <w:webHidden/>
              </w:rPr>
              <w:tab/>
            </w:r>
            <w:r w:rsidR="00D47D24">
              <w:rPr>
                <w:noProof/>
                <w:webHidden/>
              </w:rPr>
              <w:fldChar w:fldCharType="begin"/>
            </w:r>
            <w:r w:rsidR="00D47D24">
              <w:rPr>
                <w:noProof/>
                <w:webHidden/>
              </w:rPr>
              <w:instrText xml:space="preserve"> PAGEREF _Toc33094537 \h </w:instrText>
            </w:r>
            <w:r w:rsidR="00D47D24">
              <w:rPr>
                <w:noProof/>
                <w:webHidden/>
              </w:rPr>
            </w:r>
            <w:r w:rsidR="00D47D24">
              <w:rPr>
                <w:noProof/>
                <w:webHidden/>
              </w:rPr>
              <w:fldChar w:fldCharType="separate"/>
            </w:r>
            <w:r w:rsidR="003D1BD9">
              <w:rPr>
                <w:noProof/>
                <w:webHidden/>
              </w:rPr>
              <w:t>23</w:t>
            </w:r>
            <w:r w:rsidR="00D47D24">
              <w:rPr>
                <w:noProof/>
                <w:webHidden/>
              </w:rPr>
              <w:fldChar w:fldCharType="end"/>
            </w:r>
          </w:hyperlink>
        </w:p>
        <w:p w14:paraId="2D766F1E" w14:textId="4C0B865C" w:rsidR="00D47D24" w:rsidRDefault="00AE10F9">
          <w:pPr>
            <w:pStyle w:val="TOC3"/>
            <w:tabs>
              <w:tab w:val="left" w:pos="1100"/>
              <w:tab w:val="right" w:leader="dot" w:pos="9060"/>
            </w:tabs>
            <w:rPr>
              <w:rFonts w:asciiTheme="minorHAnsi" w:eastAsiaTheme="minorEastAsia" w:hAnsiTheme="minorHAnsi"/>
              <w:noProof/>
              <w:lang w:eastAsia="en-GB"/>
            </w:rPr>
          </w:pPr>
          <w:hyperlink w:anchor="_Toc33094538" w:history="1">
            <w:r w:rsidR="00D47D24" w:rsidRPr="00397BD7">
              <w:rPr>
                <w:rStyle w:val="Hyperlink"/>
                <w:noProof/>
              </w:rPr>
              <w:t>4.1</w:t>
            </w:r>
            <w:r w:rsidR="00D47D24">
              <w:rPr>
                <w:rFonts w:asciiTheme="minorHAnsi" w:eastAsiaTheme="minorEastAsia" w:hAnsiTheme="minorHAnsi"/>
                <w:noProof/>
                <w:lang w:eastAsia="en-GB"/>
              </w:rPr>
              <w:tab/>
            </w:r>
            <w:r w:rsidR="00D47D24" w:rsidRPr="00397BD7">
              <w:rPr>
                <w:rStyle w:val="Hyperlink"/>
                <w:noProof/>
              </w:rPr>
              <w:t>Technical analysis</w:t>
            </w:r>
            <w:r w:rsidR="00D47D24">
              <w:rPr>
                <w:noProof/>
                <w:webHidden/>
              </w:rPr>
              <w:tab/>
            </w:r>
            <w:r w:rsidR="00D47D24">
              <w:rPr>
                <w:noProof/>
                <w:webHidden/>
              </w:rPr>
              <w:fldChar w:fldCharType="begin"/>
            </w:r>
            <w:r w:rsidR="00D47D24">
              <w:rPr>
                <w:noProof/>
                <w:webHidden/>
              </w:rPr>
              <w:instrText xml:space="preserve"> PAGEREF _Toc33094538 \h </w:instrText>
            </w:r>
            <w:r w:rsidR="00D47D24">
              <w:rPr>
                <w:noProof/>
                <w:webHidden/>
              </w:rPr>
            </w:r>
            <w:r w:rsidR="00D47D24">
              <w:rPr>
                <w:noProof/>
                <w:webHidden/>
              </w:rPr>
              <w:fldChar w:fldCharType="separate"/>
            </w:r>
            <w:r w:rsidR="003D1BD9">
              <w:rPr>
                <w:noProof/>
                <w:webHidden/>
              </w:rPr>
              <w:t>23</w:t>
            </w:r>
            <w:r w:rsidR="00D47D24">
              <w:rPr>
                <w:noProof/>
                <w:webHidden/>
              </w:rPr>
              <w:fldChar w:fldCharType="end"/>
            </w:r>
          </w:hyperlink>
        </w:p>
        <w:p w14:paraId="3391A140" w14:textId="7456C124" w:rsidR="00D47D24" w:rsidRDefault="00AE10F9">
          <w:pPr>
            <w:pStyle w:val="TOC3"/>
            <w:tabs>
              <w:tab w:val="left" w:pos="1100"/>
              <w:tab w:val="right" w:leader="dot" w:pos="9060"/>
            </w:tabs>
            <w:rPr>
              <w:rFonts w:asciiTheme="minorHAnsi" w:eastAsiaTheme="minorEastAsia" w:hAnsiTheme="minorHAnsi"/>
              <w:noProof/>
              <w:lang w:eastAsia="en-GB"/>
            </w:rPr>
          </w:pPr>
          <w:hyperlink w:anchor="_Toc33094539" w:history="1">
            <w:r w:rsidR="00D47D24" w:rsidRPr="00397BD7">
              <w:rPr>
                <w:rStyle w:val="Hyperlink"/>
                <w:noProof/>
              </w:rPr>
              <w:t>4.2</w:t>
            </w:r>
            <w:r w:rsidR="00D47D24">
              <w:rPr>
                <w:rFonts w:asciiTheme="minorHAnsi" w:eastAsiaTheme="minorEastAsia" w:hAnsiTheme="minorHAnsi"/>
                <w:noProof/>
                <w:lang w:eastAsia="en-GB"/>
              </w:rPr>
              <w:tab/>
            </w:r>
            <w:r w:rsidR="00D47D24" w:rsidRPr="00397BD7">
              <w:rPr>
                <w:rStyle w:val="Hyperlink"/>
                <w:noProof/>
              </w:rPr>
              <w:t>Identified risk management measures</w:t>
            </w:r>
            <w:r w:rsidR="00D47D24">
              <w:rPr>
                <w:noProof/>
                <w:webHidden/>
              </w:rPr>
              <w:tab/>
            </w:r>
            <w:r w:rsidR="00D47D24">
              <w:rPr>
                <w:noProof/>
                <w:webHidden/>
              </w:rPr>
              <w:fldChar w:fldCharType="begin"/>
            </w:r>
            <w:r w:rsidR="00D47D24">
              <w:rPr>
                <w:noProof/>
                <w:webHidden/>
              </w:rPr>
              <w:instrText xml:space="preserve"> PAGEREF _Toc33094539 \h </w:instrText>
            </w:r>
            <w:r w:rsidR="00D47D24">
              <w:rPr>
                <w:noProof/>
                <w:webHidden/>
              </w:rPr>
            </w:r>
            <w:r w:rsidR="00D47D24">
              <w:rPr>
                <w:noProof/>
                <w:webHidden/>
              </w:rPr>
              <w:fldChar w:fldCharType="separate"/>
            </w:r>
            <w:r w:rsidR="003D1BD9">
              <w:rPr>
                <w:noProof/>
                <w:webHidden/>
              </w:rPr>
              <w:t>23</w:t>
            </w:r>
            <w:r w:rsidR="00D47D24">
              <w:rPr>
                <w:noProof/>
                <w:webHidden/>
              </w:rPr>
              <w:fldChar w:fldCharType="end"/>
            </w:r>
          </w:hyperlink>
        </w:p>
        <w:p w14:paraId="74E3D56F" w14:textId="01C6C060" w:rsidR="00D47D24" w:rsidRDefault="00AE10F9">
          <w:pPr>
            <w:pStyle w:val="TOC3"/>
            <w:tabs>
              <w:tab w:val="left" w:pos="1100"/>
              <w:tab w:val="right" w:leader="dot" w:pos="9060"/>
            </w:tabs>
            <w:rPr>
              <w:rFonts w:asciiTheme="minorHAnsi" w:eastAsiaTheme="minorEastAsia" w:hAnsiTheme="minorHAnsi"/>
              <w:noProof/>
              <w:lang w:eastAsia="en-GB"/>
            </w:rPr>
          </w:pPr>
          <w:hyperlink w:anchor="_Toc33094540" w:history="1">
            <w:r w:rsidR="00D47D24" w:rsidRPr="00397BD7">
              <w:rPr>
                <w:rStyle w:val="Hyperlink"/>
                <w:noProof/>
              </w:rPr>
              <w:t>4.3</w:t>
            </w:r>
            <w:r w:rsidR="00D47D24">
              <w:rPr>
                <w:rFonts w:asciiTheme="minorHAnsi" w:eastAsiaTheme="minorEastAsia" w:hAnsiTheme="minorHAnsi"/>
                <w:noProof/>
                <w:lang w:eastAsia="en-GB"/>
              </w:rPr>
              <w:tab/>
            </w:r>
            <w:r w:rsidR="00D47D24" w:rsidRPr="00397BD7">
              <w:rPr>
                <w:rStyle w:val="Hyperlink"/>
                <w:noProof/>
              </w:rPr>
              <w:t>Stakeholder consultation</w:t>
            </w:r>
            <w:r w:rsidR="00D47D24">
              <w:rPr>
                <w:noProof/>
                <w:webHidden/>
              </w:rPr>
              <w:tab/>
            </w:r>
            <w:r w:rsidR="00D47D24">
              <w:rPr>
                <w:noProof/>
                <w:webHidden/>
              </w:rPr>
              <w:fldChar w:fldCharType="begin"/>
            </w:r>
            <w:r w:rsidR="00D47D24">
              <w:rPr>
                <w:noProof/>
                <w:webHidden/>
              </w:rPr>
              <w:instrText xml:space="preserve"> PAGEREF _Toc33094540 \h </w:instrText>
            </w:r>
            <w:r w:rsidR="00D47D24">
              <w:rPr>
                <w:noProof/>
                <w:webHidden/>
              </w:rPr>
            </w:r>
            <w:r w:rsidR="00D47D24">
              <w:rPr>
                <w:noProof/>
                <w:webHidden/>
              </w:rPr>
              <w:fldChar w:fldCharType="separate"/>
            </w:r>
            <w:r w:rsidR="003D1BD9">
              <w:rPr>
                <w:noProof/>
                <w:webHidden/>
              </w:rPr>
              <w:t>24</w:t>
            </w:r>
            <w:r w:rsidR="00D47D24">
              <w:rPr>
                <w:noProof/>
                <w:webHidden/>
              </w:rPr>
              <w:fldChar w:fldCharType="end"/>
            </w:r>
          </w:hyperlink>
        </w:p>
        <w:p w14:paraId="63800493" w14:textId="4EC823B3" w:rsidR="00D47D24" w:rsidRDefault="00AE10F9">
          <w:pPr>
            <w:pStyle w:val="TOC2"/>
            <w:tabs>
              <w:tab w:val="left" w:pos="660"/>
              <w:tab w:val="right" w:leader="dot" w:pos="9060"/>
            </w:tabs>
            <w:rPr>
              <w:rFonts w:asciiTheme="minorHAnsi" w:eastAsiaTheme="minorEastAsia" w:hAnsiTheme="minorHAnsi"/>
              <w:noProof/>
              <w:lang w:eastAsia="en-GB"/>
            </w:rPr>
          </w:pPr>
          <w:hyperlink w:anchor="_Toc33094541" w:history="1">
            <w:r w:rsidR="00D47D24" w:rsidRPr="00397BD7">
              <w:rPr>
                <w:rStyle w:val="Hyperlink"/>
                <w:noProof/>
              </w:rPr>
              <w:t>5.</w:t>
            </w:r>
            <w:r w:rsidR="00D47D24">
              <w:rPr>
                <w:rFonts w:asciiTheme="minorHAnsi" w:eastAsiaTheme="minorEastAsia" w:hAnsiTheme="minorHAnsi"/>
                <w:noProof/>
                <w:lang w:eastAsia="en-GB"/>
              </w:rPr>
              <w:tab/>
            </w:r>
            <w:r w:rsidR="00D47D24" w:rsidRPr="00397BD7">
              <w:rPr>
                <w:rStyle w:val="Hyperlink"/>
                <w:noProof/>
              </w:rPr>
              <w:t>National foodborne illness reduction strategy</w:t>
            </w:r>
            <w:r w:rsidR="00D47D24">
              <w:rPr>
                <w:noProof/>
                <w:webHidden/>
              </w:rPr>
              <w:tab/>
            </w:r>
            <w:r w:rsidR="00D47D24">
              <w:rPr>
                <w:noProof/>
                <w:webHidden/>
              </w:rPr>
              <w:fldChar w:fldCharType="begin"/>
            </w:r>
            <w:r w:rsidR="00D47D24">
              <w:rPr>
                <w:noProof/>
                <w:webHidden/>
              </w:rPr>
              <w:instrText xml:space="preserve"> PAGEREF _Toc33094541 \h </w:instrText>
            </w:r>
            <w:r w:rsidR="00D47D24">
              <w:rPr>
                <w:noProof/>
                <w:webHidden/>
              </w:rPr>
            </w:r>
            <w:r w:rsidR="00D47D24">
              <w:rPr>
                <w:noProof/>
                <w:webHidden/>
              </w:rPr>
              <w:fldChar w:fldCharType="separate"/>
            </w:r>
            <w:r w:rsidR="003D1BD9">
              <w:rPr>
                <w:noProof/>
                <w:webHidden/>
              </w:rPr>
              <w:t>24</w:t>
            </w:r>
            <w:r w:rsidR="00D47D24">
              <w:rPr>
                <w:noProof/>
                <w:webHidden/>
              </w:rPr>
              <w:fldChar w:fldCharType="end"/>
            </w:r>
          </w:hyperlink>
        </w:p>
        <w:p w14:paraId="73C95849" w14:textId="728ED00D" w:rsidR="00D47D24" w:rsidRDefault="00D47D24">
          <w:r>
            <w:rPr>
              <w:b/>
              <w:bCs/>
              <w:noProof/>
            </w:rPr>
            <w:fldChar w:fldCharType="end"/>
          </w:r>
        </w:p>
      </w:sdtContent>
    </w:sdt>
    <w:p w14:paraId="5CD0E005" w14:textId="77777777" w:rsidR="0092316C" w:rsidRDefault="0092316C">
      <w:pPr>
        <w:spacing w:before="0" w:after="0"/>
        <w:rPr>
          <w:sz w:val="24"/>
        </w:rPr>
      </w:pPr>
      <w:r>
        <w:rPr>
          <w:sz w:val="24"/>
        </w:rPr>
        <w:br w:type="page"/>
      </w:r>
    </w:p>
    <w:p w14:paraId="31831A43" w14:textId="77777777" w:rsidR="00700A3D" w:rsidRDefault="00700A3D" w:rsidP="00700A3D">
      <w:pPr>
        <w:pStyle w:val="Heading1"/>
      </w:pPr>
      <w:bookmarkStart w:id="1" w:name="_Toc33094502"/>
      <w:r>
        <w:lastRenderedPageBreak/>
        <w:t>1.</w:t>
      </w:r>
      <w:r>
        <w:tab/>
        <w:t>Introduction</w:t>
      </w:r>
      <w:bookmarkEnd w:id="1"/>
    </w:p>
    <w:p w14:paraId="0D93464C" w14:textId="77777777" w:rsidR="00700A3D" w:rsidRDefault="00700A3D" w:rsidP="009B07B0">
      <w:r>
        <w:t>Ministers responsible for food regulation have requested FSANZ consider a package of regulatory and non-regulatory measures for business sectors identified in the 2011 Ministerial Policy Guideline on Food Safety Management for General Food Service and Closely Related Retail Sectors (the Policy Guideline) (</w:t>
      </w:r>
      <w:r>
        <w:rPr>
          <w:lang w:val="en-AU"/>
        </w:rPr>
        <w:t>Forum 2011)</w:t>
      </w:r>
      <w:r>
        <w:t>.</w:t>
      </w:r>
    </w:p>
    <w:p w14:paraId="65FC8FCC" w14:textId="70284A39" w:rsidR="00700A3D" w:rsidRDefault="00700A3D" w:rsidP="009B07B0">
      <w:r>
        <w:t>In June 2018, Ministers agreed that food safety management in these sectors should be strengthened to reduce foodborne illness linked to these eight business sectors.  A multi</w:t>
      </w:r>
      <w:r>
        <w:noBreakHyphen/>
        <w:t xml:space="preserve">jurisdictional food safety management working group (the FSM WG) was established to evaluate the adequacy of current measures. It concluded extra measures are needed to improve food safety outcomes (outlined in </w:t>
      </w:r>
      <w:r w:rsidR="00906AA4">
        <w:t>s</w:t>
      </w:r>
      <w:r>
        <w:t xml:space="preserve">ection 3.3 and Appendix 2). The FSM WG therefore proposed new measures, including regulatory tools that could be applied in a tiered approach based on businesses’ level of risk. Together with non-regulatory tools, these measures are intended to improve skills and knowledge, food hygiene and high-risk food handling activities. Following stakeholder consultations, the FSM WG presented an ‘all for all’ package (tools </w:t>
      </w:r>
      <w:r w:rsidR="00906AA4">
        <w:t xml:space="preserve">to apply to </w:t>
      </w:r>
      <w:r>
        <w:t>all eight business sectors in the Policy Guideline) to the Food Regulation Standing Committee</w:t>
      </w:r>
      <w:r>
        <w:rPr>
          <w:rStyle w:val="FootnoteReference"/>
          <w:rFonts w:cs="Arial"/>
        </w:rPr>
        <w:footnoteReference w:id="3"/>
      </w:r>
      <w:r>
        <w:t xml:space="preserve"> (FRSC). This work and package was endorsed by Ministers and then referred to FSANZ for assessment.</w:t>
      </w:r>
    </w:p>
    <w:p w14:paraId="25257C2C" w14:textId="77777777" w:rsidR="00700A3D" w:rsidRDefault="00700A3D" w:rsidP="009B07B0">
      <w:r>
        <w:t>Following the Ministers’ request, FSANZ prepared Proposal P1053 to consider whether to amend the Australia New Zealand Food Standards Code (Code) to mandate the measures proposed by the working group and endorsed by Ministers.</w:t>
      </w:r>
    </w:p>
    <w:p w14:paraId="2A196F84" w14:textId="77777777" w:rsidR="00700A3D" w:rsidRDefault="00700A3D" w:rsidP="009B07B0">
      <w:r>
        <w:t xml:space="preserve">The </w:t>
      </w:r>
      <w:r>
        <w:rPr>
          <w:i/>
        </w:rPr>
        <w:t>Food Standards Australia New Zealand Act 1991</w:t>
      </w:r>
      <w:r>
        <w:t xml:space="preserve"> (FSANZ Act) requires FSANZ to assess the Ministers’ proposed measures in accordance with that Act and makes its own decision on whether or not the Code should be amended to mandate these or other measures. If FSANZ’s assessment is that the Code should be amended, FSANZ will be required to prepare a draft variation to the Code and seek public comment on that draft variation. Those public comments will inform any FSANZ decision on whether or how the Code should be amended.</w:t>
      </w:r>
    </w:p>
    <w:p w14:paraId="2CD7D207" w14:textId="2D36F58C" w:rsidR="00700A3D" w:rsidRDefault="00700A3D" w:rsidP="009B07B0">
      <w:r>
        <w:t>FSANZ has yet to complete its assessment of the proposed measures. Nor has any decision been made by FSANZ to amend the Code.</w:t>
      </w:r>
    </w:p>
    <w:p w14:paraId="6EA11D6C" w14:textId="77777777" w:rsidR="00700A3D" w:rsidRDefault="00700A3D" w:rsidP="009B07B0">
      <w:r>
        <w:t>This paper seeks input from stakeholders to inform FSANZ’s assessment of the proposed measures.</w:t>
      </w:r>
    </w:p>
    <w:p w14:paraId="35F2B1FE" w14:textId="77777777" w:rsidR="00700A3D" w:rsidRDefault="00700A3D" w:rsidP="00700A3D">
      <w:pPr>
        <w:pStyle w:val="Heading2"/>
      </w:pPr>
      <w:bookmarkStart w:id="2" w:name="_Toc33094503"/>
      <w:r>
        <w:t>1.1</w:t>
      </w:r>
      <w:r>
        <w:tab/>
        <w:t>The problem</w:t>
      </w:r>
      <w:bookmarkEnd w:id="2"/>
    </w:p>
    <w:p w14:paraId="3AA33D8F" w14:textId="77777777" w:rsidR="00700A3D" w:rsidRDefault="00700A3D" w:rsidP="009B07B0">
      <w:r>
        <w:rPr>
          <w:lang w:eastAsia="en-AU"/>
        </w:rPr>
        <w:t>While the vast majority of food in Australia is safe, foodborne illness is an ongoing, and sometimes</w:t>
      </w:r>
      <w:r>
        <w:t xml:space="preserve"> serious, problem that is largely preventable. </w:t>
      </w:r>
      <w:r>
        <w:rPr>
          <w:lang w:val="en-AU"/>
        </w:rPr>
        <w:t>Circa 2010, foodborne illness accounted for an estimated</w:t>
      </w:r>
      <w:r>
        <w:t>:</w:t>
      </w:r>
    </w:p>
    <w:p w14:paraId="237D5A16" w14:textId="77777777" w:rsidR="00700A3D" w:rsidRDefault="00700A3D" w:rsidP="0062121C">
      <w:pPr>
        <w:pStyle w:val="ListParagraph"/>
        <w:numPr>
          <w:ilvl w:val="0"/>
          <w:numId w:val="14"/>
        </w:numPr>
      </w:pPr>
      <w:r>
        <w:t xml:space="preserve">4.1 million cases of foodborne gastroenteritis  </w:t>
      </w:r>
    </w:p>
    <w:p w14:paraId="1AF5CE3E" w14:textId="77777777" w:rsidR="00700A3D" w:rsidRDefault="00700A3D" w:rsidP="0062121C">
      <w:pPr>
        <w:pStyle w:val="ListParagraph"/>
        <w:numPr>
          <w:ilvl w:val="0"/>
          <w:numId w:val="14"/>
        </w:numPr>
      </w:pPr>
      <w:r>
        <w:t>5140 cases of non-gastrointestinal illnesses (e.g. toxoplasmosis)</w:t>
      </w:r>
    </w:p>
    <w:p w14:paraId="62F5E89A" w14:textId="77777777" w:rsidR="00700A3D" w:rsidRDefault="00700A3D" w:rsidP="0062121C">
      <w:pPr>
        <w:pStyle w:val="ListParagraph"/>
        <w:numPr>
          <w:ilvl w:val="0"/>
          <w:numId w:val="14"/>
        </w:numPr>
      </w:pPr>
      <w:r>
        <w:t>35,840 cases of sequelae (conditions that arise following illness, e.g. reactive arthritis)</w:t>
      </w:r>
    </w:p>
    <w:p w14:paraId="0EE9521C" w14:textId="77777777" w:rsidR="00700A3D" w:rsidRDefault="00700A3D" w:rsidP="0062121C">
      <w:pPr>
        <w:pStyle w:val="ListParagraph"/>
        <w:numPr>
          <w:ilvl w:val="0"/>
          <w:numId w:val="14"/>
        </w:numPr>
      </w:pPr>
      <w:r>
        <w:t xml:space="preserve">31,920 hospitalisations and 86 deaths </w:t>
      </w:r>
      <w:r>
        <w:fldChar w:fldCharType="begin"/>
      </w:r>
      <w:r>
        <w:instrText>ADDIN CITAVI.PLACEHOLDER d5c16157-4370-42d7-8181-3502514bcb49 PFBsYWNlaG9sZGVyPg0KICA8QWRkSW5WZXJzaW9uPjUuNy4xLjA8L0FkZEluVmVyc2lvbj4NCiAgPElkPmQ1YzE2MTU3LTQzNzAtNDJkNy04MTgxLTM1MDI1MTRiY2I0OTwvSWQ+DQogIDxFbnRyaWVzPg0KICAgIDxFbnRyeT4NCiAgICAgIDxJZD42ZTNiNzgyZC0xZGE3LTQ1NTgtYWQxYS1jNTM5NzYyZjQ1OGE8L0lkPg0KICAgICAgPFJlZmVyZW5jZUlkPmQ5MmM3Mjk3LTAyN2YtNDU0My05ODcwLTExNmZmNWM5YjFlNTwvUmVmZXJlbmNlSWQ+DQogICAgICA8UmFuZ2U+DQogICAgICAgIDxTdGFydD4wPC9TdGFydD4NCiAgICAgICAgPExlbmd0aD4xODwvTGVuZ3RoPg0KICAgICAgPC9SYW5nZT4NCiAgICAgIDxSZWZlcmVuY2U+DQogICAgICAgIDxSZWZlcmVuY2VUeXBlSWQ+VW5wdWJsaXNoZWRXb3JrPC9SZWZlcmVuY2VUeXBlSWQ+DQogICAgICAgIDxBdXRob3JzPg0KICAgICAgICAgIDxQZXJzb24+DQogICAgICAgICAgICA8Rmlyc3ROYW1lPk1hcnR5bjwvRmlyc3ROYW1lPg0KICAgICAgICAgICAgPExhc3ROYW1lPktpcms8L0xhc3ROYW1lPg0KICAgICAgICAgICAgPFNleD5NYWxlPC9TZXg+DQogICAgICAgICAgPC9QZXJzb24+DQogICAgICAgICAgPFBlcnNvbj4NCiAgICAgICAgICAgIDxGaXJzdE5hbWU+S2F0aHJ5bjwvRmlyc3ROYW1lPg0KICAgICAgICAgICAgPExhc3ROYW1lPkdsYXNzPC9MYXN0TmFtZT4NCiAgICAgICAgICAgIDxTZXg+RmVtYWxlPC9TZXg+DQogICAgICAgICAgPC9QZXJzb24+DQogICAgICAgICAgPFBlcnNvbj4NCiAgICAgICAgICAgIDxGaXJzdE5hbWU+TGF1cmE8L0ZpcnN0TmFtZT4NCiAgICAgICAgICAgIDxMYXN0TmFtZT5Gb3JkPC9MYXN0TmFtZT4NCiAgICAgICAgICAgIDxTZXg+RmVtYWxlPC9TZXg+DQogICAgICAgICAgPC9QZXJzb24+DQogICAgICAgICAgPFBlcnNvbj4NCiAgICAgICAgICAgIDxGaXJzdE5hbWU+S2F0aHJ5bjwvRmlyc3ROYW1lPg0KICAgICAgICAgICAgPExhc3ROYW1lPkJyb3duPC9MYXN0TmFtZT4NCiAgICAgICAgICAgIDxTZXg+RmVtYWxlPC9TZXg+DQogICAgICAgICAgPC9QZXJzb24+DQogICAgICAgICAgPFBlcnNvbj4NCiAgICAgICAgICAgIDxGaXJzdE5hbWU+R2lsbGlhbjwvRmlyc3ROYW1lPg0KICAgICAgICAgICAgPExhc3ROYW1lPkhhbGw8L0xhc3ROYW1lPg0KICAgICAgICAgICAgPFNleD5GZW1hbGU8L1NleD4NCiAgICAgICAgICA8L1BlcnNvbj4NCiAgICAgICAgPC9BdXRob3JzPg0KICAgICAgICA8QWNjZXNzRGF0ZT4wMS8wNC8yMDE5PC9BY2Nlc3NEYXRlPg0KICAgICAgICA8RGF0ZT4yMDE0PC9EYXRlPg0KICAgICAgICA8SWQ+ZDkyYzcyOTctMDI3Zi00NTQzLTk4NzAtMTE2ZmY1YzliMWU1PC9JZD4NCiAgICAgICAgPExvY2F0aW9ucz4NCiAgICAgICAgICA8TG9jYXRpb24+DQogICAgICAgICAgICA8QWRkcmVzcz5LaXJrLCBHbGFzcyBldCBhbC4gMjAxNCAtIEZvb2Rib3JuZSBpbGxuZXNzIGluIEF1c3RyYWxpYS5wZGY8L0FkZHJlc3M+DQogICAgICAgICAgICA8TG9jYXRpb25UeXBlPkVsZWN0cm9uaWNBZGRyZXNzPC9Mb2NhdGlvblR5cGU+DQogICAgICAgICAgPC9Mb2NhdGlvbj4NCiAgICAgICAgICA8TG9jYXRpb24+DQogICAgICAgICAgICA8QWRkcmVzcz5odHRwczovL3d3dy5nb29nbGUuY29tL3VybD9zYT10JmFtcDtyY3Q9aiZhbXA7cT0mYW1wO2VzcmM9cyZhbXA7c291cmNlPXdlYiZhbXA7Y2Q9MSZhbXA7dmVkPTJhaFVLRXdqTHFLUG4wSzNoQWhXQ2ZIMEtIU0MyQ2UwUUZqQUFlZ1FJQVJBQyZhbXA7dXJsPWh0dHBzJTNBJTJGJTJGd3d3LmhlYWx0aC5nb3YuYXUlMkZpbnRlcm5ldCUyRm1haW4lMkZwdWJsaXNoaW5nLm5zZiUyRkNvbnRlbnQlMkZFODI5RkE1OUE1OTY3N0MwQ0EyNTdENkEwMDdEMkM5NyUyRiUyNEZpbGUlMkZGb29kYm9ybmUtSWxsbmVzcy1BdXN0cmFsaWEtY2lyY2EtMjAxMC5wZGYmYW1wO3VzZz1BT3ZWYXcya21vWEpEdEZNUW1DUkxVb2JLVlpaPC9BZGRyZXNzPg0KICAgICAgICAgICAgPExvY2F0aW9uVHlwZT5FbGVjdHJvbmljQWRkcmVzczwvTG9jYXRpb25UeXBlPg0KICAgICAgICAgIDwvTG9jYXRpb24+DQogICAgICAgICAgPExvY2F0aW9uPg0KICAgICAgICAgICAgPEFkZHJlc3M+aHR0cHM6Ly93d3cuZ29vZ2xlLmNvbS91cmw/c2E9dCZhbXA7cmN0PWomYW1wO3E9JmFtcDtlc3JjPXMmYW1wO3NvdXJjZT13ZWImYW1wO2NkPTEmYW1wO3ZlZD0yYWhVS0V3akxxS1BuMEszaEFoV0NmSDBLSFNDMkNlMFFGakFBZWdRSUFSQUMmYW1wO3VybD1odHRwcyUzQSUyRiUyRnd3dy5oZWFsdGguZ292LmF1JTJGaW50ZXJuZXQlMkZtYWluJTJGcHVibGlzaGluZy5uc2YlMkZDb250ZW50JTJGRTgyOUZBNTlBNTk2NzdDMENBMjU3RDZBMDA3RDJDOTclMkYlMjRGaWxlJTJGRm9vZGJvcm5lLUlsbG5lc3MtQXVzdHJhbGlhLWNpcmNhLTIwMTAucGRmJmFtcDt1c2c9QU92VmF3Mmttb1hKRHRGTVFtQ1JMVW9iS1ZaWjwvQWRkcmVzcz4NCiAgICAgICAgICAgIDxMb2NhdGlvblR5cGU+RWxlY3Ryb25pY0FkZHJlc3M8L0xvY2F0aW9uVHlwZT4NCiAgICAgICAgICA8L0xvY2F0aW9uPg0KICAgICAgICA8L0xvY2F0aW9ucz4NCiAgICAgICAgPE9ubGluZUFkZHJlc3M+aHR0cHM6Ly93d3cuZ29vZ2xlLmNvbS91cmw/c2E9dCZhbXA7cmN0PWomYW1wO3E9JmFtcDtlc3JjPXMmYW1wO3NvdXJjZT13ZWImYW1wO2NkPTEmYW1wO3ZlZD0yYWhVS0V3akxxS1BuMEszaEFoV0NmSDBLSFNDMkNlMFFGakFBZWdRSUFSQUMmYW1wO3VybD1odHRwcyUzQSUyRiUyRnd3dy5oZWFsdGguZ292LmF1JTJGaW50ZXJuZXQlMkZtYWluJTJGcHVibGlzaGluZy5uc2YlMkZDb250ZW50JTJGRTgyOUZBNTlBNTk2NzdDMENBMjU3RDZBMDA3RDJDOTclMkYlMjRGaWxlJTJGRm9vZGJvcm5lLUlsbG5lc3MtQXVzdHJhbGlhLWNpcmNhLTIwMTAucGRmJmFtcDt1c2c9QU92VmF3Mmttb1hKRHRGTVFtQ1JMVW9iS1ZaWjwvT25saW5lQWRkcmVzcz4NCiAgICAgICAgPE9yZ2FuaXphdGlvbnM+DQogICAgICAgICAgPFBlcnNvbj4NCiAgICAgICAgICAgIDxMYXN0TmFtZT5OYXRpb25hbCBDZW50cmUgZm9yIEVwaWRlbWlvbG9neSBhbmQgUG9wdWxhdGlvbiBIZWFsdGgsIEF1c3RyYWxpYW4gTmF0aW9uYWwgVW5pdmVyc2l0eTwvTGFzdE5hbWU+DQogICAgICAgICAgPC9QZXJzb24+DQogICAgICAgIDwvT3JnYW5pemF0aW9ucz4NCiAgICAgICAgPFBsYWNlT2ZQdWJsaWNhdGlvbj5DYW5iZXJyYSwgQXVzdHJhbGlhPC9QbGFjZU9mUHVibGljYXRpb24+DQogICAgICAgIDxTZXF1ZW5jZU51bWJlcj41PC9TZXF1ZW5jZU51bWJlcj4NCiAgICAgICAgPFNob3J0VGl0bGU+S2lyaywgR2xhc3MgZXQgYWwuIDIwMTQg4oCTIEZvb2Rib3JuZSBpbGxuZXNzIGluIEF1c3RyYWxpYTwvU2hvcnRUaXRsZT4NCiAgICAgICAgPFRpdGxlPkZvb2Rib3JuZSBpbGxuZXNzIGluIEF1c3RyYWxpYTogQW5udWFsIGluY2lkZW5jZSBjaXJjYSAyMDEwPC9UaXRsZT4NCiAgICAgIDwvUmVmZXJlbmNlPg0KICAgIDwvRW50cnk+DQogIDwvRW50cmllcz4NCiAgPFRleHQ+KEtpcmsgZXQgYWwu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aXJrIGV0IGFsLiAyMDE0KTwvVGV4dD4NCiAgICA8L1RleHRVbml0Pg0KICA8L1RleHRVbml0cz4NCjwvUGxhY2Vob2xkZXI+</w:instrText>
      </w:r>
      <w:r>
        <w:fldChar w:fldCharType="separate"/>
      </w:r>
      <w:r>
        <w:t>(Kirk et al. 2014)</w:t>
      </w:r>
      <w:r>
        <w:fldChar w:fldCharType="end"/>
      </w:r>
      <w:r>
        <w:t xml:space="preserve">. </w:t>
      </w:r>
    </w:p>
    <w:p w14:paraId="27FFC0CF" w14:textId="77777777" w:rsidR="00700A3D" w:rsidRDefault="00700A3D" w:rsidP="009B07B0">
      <w:pPr>
        <w:rPr>
          <w:lang w:val="en-AU"/>
        </w:rPr>
      </w:pPr>
      <w:r>
        <w:lastRenderedPageBreak/>
        <w:t>Foodborne illness costs an estimated $1.75 billion</w:t>
      </w:r>
      <w:r>
        <w:rPr>
          <w:rStyle w:val="FootnoteReference"/>
        </w:rPr>
        <w:footnoteReference w:id="4"/>
      </w:r>
      <w:r>
        <w:t xml:space="preserve"> per </w:t>
      </w:r>
      <w:r>
        <w:rPr>
          <w:lang w:val="en-AU"/>
        </w:rPr>
        <w:t xml:space="preserve">year (Abelson </w:t>
      </w:r>
      <w:r>
        <w:rPr>
          <w:iCs/>
          <w:lang w:val="en-AU"/>
        </w:rPr>
        <w:t>et al.</w:t>
      </w:r>
      <w:r>
        <w:rPr>
          <w:lang w:val="en-AU"/>
        </w:rPr>
        <w:t xml:space="preserve"> 2006) including </w:t>
      </w:r>
      <w:r>
        <w:t>medical costs and days of work lost.</w:t>
      </w:r>
    </w:p>
    <w:p w14:paraId="1994875D" w14:textId="77777777" w:rsidR="00700A3D" w:rsidRDefault="00700A3D" w:rsidP="009B07B0">
      <w:r>
        <w:t xml:space="preserve">About two-thirds of </w:t>
      </w:r>
      <w:r>
        <w:rPr>
          <w:lang w:val="en-AU"/>
        </w:rPr>
        <w:t xml:space="preserve">all reported foodborne illness outbreaks in Australia have been linked to </w:t>
      </w:r>
      <w:r>
        <w:rPr>
          <w:lang w:eastAsia="en-AU"/>
        </w:rPr>
        <w:t>food service and closely related retail businesses, including restaurants, takeaways, commercial caterers, camps, cruise/airline, national franchised fast food restaurants and delicatessens (OzFoodNet</w:t>
      </w:r>
      <w:r>
        <w:rPr>
          <w:rStyle w:val="FootnoteReference"/>
        </w:rPr>
        <w:footnoteReference w:id="5"/>
      </w:r>
      <w:r>
        <w:rPr>
          <w:lang w:eastAsia="en-AU"/>
        </w:rPr>
        <w:t>). Outbreaks continue to be linked to these settings (O</w:t>
      </w:r>
      <w:r>
        <w:rPr>
          <w:rFonts w:cs="Calibri"/>
          <w:lang w:val="en-AU"/>
        </w:rPr>
        <w:t xml:space="preserve">zFoodNet data 2004 to 2015).  </w:t>
      </w:r>
    </w:p>
    <w:p w14:paraId="7219BD2B" w14:textId="77777777" w:rsidR="00700A3D" w:rsidRDefault="00700A3D" w:rsidP="009B07B0">
      <w:pPr>
        <w:rPr>
          <w:rStyle w:val="CommentReference"/>
        </w:rPr>
      </w:pPr>
      <w:r>
        <w:t>Food handling errors such as improper temperature control, poor personal hygiene and cross contamination are consistently identified as contributing factors to foodborne illness outbreaks (Ashbolt et al. 2003; Todd 2007). Food regulators have identified that a lack of skills and knowledge of food handlers, especially for high-risk activities, is commonly linked to outbreaks in food service and closely related retail sectors.</w:t>
      </w:r>
      <w:r>
        <w:rPr>
          <w:rStyle w:val="CommentReference"/>
        </w:rPr>
        <w:t xml:space="preserve"> </w:t>
      </w:r>
    </w:p>
    <w:p w14:paraId="607B1846" w14:textId="51972A78" w:rsidR="00700A3D" w:rsidRDefault="00977243" w:rsidP="009B07B0">
      <w:r w:rsidRPr="006F7710">
        <w:t>FSANZ will assess if i</w:t>
      </w:r>
      <w:r w:rsidR="00700A3D" w:rsidRPr="006F7710">
        <w:t>mprovements</w:t>
      </w:r>
      <w:r w:rsidR="00700A3D">
        <w:t xml:space="preserve"> can be made within food service and closely related retail sectors to strengthen the food regulatory system and reduce foodborne illness. These business sectors are a priority area under Australia's Foodborne Illness Reduction Strategy 2018–2021</w:t>
      </w:r>
      <w:r w:rsidR="00700A3D">
        <w:rPr>
          <w:vertAlign w:val="superscript"/>
        </w:rPr>
        <w:t>+</w:t>
      </w:r>
      <w:r w:rsidR="00700A3D">
        <w:rPr>
          <w:rStyle w:val="FootnoteReference"/>
        </w:rPr>
        <w:footnoteReference w:id="6"/>
      </w:r>
      <w:r w:rsidR="00700A3D">
        <w:t>. Implementing nationally consistent arrangements to improve food</w:t>
      </w:r>
      <w:r w:rsidR="00700A3D">
        <w:rPr>
          <w:rFonts w:cs="Calibri"/>
          <w:lang w:val="en-AU"/>
        </w:rPr>
        <w:t xml:space="preserve"> safety management in these sectors is</w:t>
      </w:r>
      <w:r w:rsidR="00700A3D">
        <w:t xml:space="preserve"> an identified action in the strategy. </w:t>
      </w:r>
    </w:p>
    <w:p w14:paraId="6D5F26CB" w14:textId="77777777" w:rsidR="00700A3D" w:rsidRDefault="00700A3D" w:rsidP="00700A3D">
      <w:pPr>
        <w:pStyle w:val="Heading2"/>
      </w:pPr>
      <w:bookmarkStart w:id="3" w:name="_Toc33094504"/>
      <w:r>
        <w:t>1.2</w:t>
      </w:r>
      <w:r>
        <w:tab/>
        <w:t>Scope of the Proposal</w:t>
      </w:r>
      <w:bookmarkEnd w:id="3"/>
    </w:p>
    <w:p w14:paraId="76603320" w14:textId="77777777" w:rsidR="00700A3D" w:rsidRDefault="00700A3D" w:rsidP="009B07B0">
      <w:r>
        <w:t xml:space="preserve">Ministers identified </w:t>
      </w:r>
      <w:r>
        <w:rPr>
          <w:rFonts w:cs="Arial"/>
        </w:rPr>
        <w:t xml:space="preserve">eight business sectors in which they consider food safety management could be improved. </w:t>
      </w:r>
      <w:r>
        <w:t>These business sectors have been assigned Priority 1 (P1) and Priority 2 (P2) classification using the national Risk Profiling Framework</w:t>
      </w:r>
      <w:r>
        <w:rPr>
          <w:rStyle w:val="FootnoteReference"/>
        </w:rPr>
        <w:footnoteReference w:id="7"/>
      </w:r>
      <w:r>
        <w:t xml:space="preserve"> (DoHA 2007; Ross et al. 2009), the endorsed national methodology for the risk classification of food businesses. </w:t>
      </w:r>
      <w:r>
        <w:rPr>
          <w:rFonts w:cs="Arial"/>
        </w:rPr>
        <w:t>The sectors are:</w:t>
      </w:r>
    </w:p>
    <w:p w14:paraId="63965CB7" w14:textId="77777777" w:rsidR="00700A3D" w:rsidRDefault="00700A3D" w:rsidP="0062121C">
      <w:pPr>
        <w:pStyle w:val="ListParagraph"/>
        <w:numPr>
          <w:ilvl w:val="0"/>
          <w:numId w:val="15"/>
        </w:numPr>
      </w:pPr>
      <w:r>
        <w:t>on-site and off-site caterers</w:t>
      </w:r>
    </w:p>
    <w:p w14:paraId="1A6FCFB2" w14:textId="77777777" w:rsidR="00700A3D" w:rsidRDefault="00700A3D" w:rsidP="0062121C">
      <w:pPr>
        <w:pStyle w:val="ListParagraph"/>
        <w:numPr>
          <w:ilvl w:val="0"/>
          <w:numId w:val="15"/>
        </w:numPr>
      </w:pPr>
      <w:r>
        <w:t xml:space="preserve">food service for ready-to-eat (RTE) food prepared in advance (e.g. takeaway businesses that hot-hold RTE food and restaurants that prepare RTE food) </w:t>
      </w:r>
    </w:p>
    <w:p w14:paraId="4E7F92C4" w14:textId="77777777" w:rsidR="00700A3D" w:rsidRDefault="00700A3D" w:rsidP="0062121C">
      <w:pPr>
        <w:pStyle w:val="ListParagraph"/>
        <w:numPr>
          <w:ilvl w:val="0"/>
          <w:numId w:val="15"/>
        </w:numPr>
      </w:pPr>
      <w:r>
        <w:t xml:space="preserve">retailers that process bakery products containing potentially hazardous foods (PHF) as fillings </w:t>
      </w:r>
    </w:p>
    <w:p w14:paraId="0F2E3E66" w14:textId="77777777" w:rsidR="00700A3D" w:rsidRDefault="00700A3D" w:rsidP="0062121C">
      <w:pPr>
        <w:pStyle w:val="ListParagraph"/>
        <w:numPr>
          <w:ilvl w:val="0"/>
          <w:numId w:val="15"/>
        </w:numPr>
      </w:pPr>
      <w:r>
        <w:t>food service for express order  (e.g. eating establishments or takeaway businesses that do not prepare food in advance)</w:t>
      </w:r>
    </w:p>
    <w:p w14:paraId="7C1C96AF" w14:textId="77777777" w:rsidR="00700A3D" w:rsidRDefault="00700A3D" w:rsidP="0062121C">
      <w:pPr>
        <w:pStyle w:val="ListParagraph"/>
        <w:numPr>
          <w:ilvl w:val="0"/>
          <w:numId w:val="15"/>
        </w:numPr>
      </w:pPr>
      <w:r>
        <w:t>retailers of bakery products containing PHF</w:t>
      </w:r>
    </w:p>
    <w:p w14:paraId="6FCDAA49" w14:textId="77777777" w:rsidR="00700A3D" w:rsidRDefault="00700A3D" w:rsidP="0062121C">
      <w:pPr>
        <w:pStyle w:val="ListParagraph"/>
        <w:numPr>
          <w:ilvl w:val="0"/>
          <w:numId w:val="15"/>
        </w:numPr>
      </w:pPr>
      <w:r>
        <w:t xml:space="preserve">retailers of RTE perishable, packaged food (e.g. sandwiches) </w:t>
      </w:r>
    </w:p>
    <w:p w14:paraId="400AB652" w14:textId="77777777" w:rsidR="00700A3D" w:rsidRDefault="00700A3D" w:rsidP="0062121C">
      <w:pPr>
        <w:pStyle w:val="ListParagraph"/>
        <w:numPr>
          <w:ilvl w:val="0"/>
          <w:numId w:val="15"/>
        </w:numPr>
      </w:pPr>
      <w:r>
        <w:t>retailers of RTE processed seafood products</w:t>
      </w:r>
    </w:p>
    <w:p w14:paraId="76012EBE" w14:textId="60119435" w:rsidR="00700A3D" w:rsidRDefault="00700A3D" w:rsidP="0062121C">
      <w:pPr>
        <w:pStyle w:val="ListParagraph"/>
        <w:numPr>
          <w:ilvl w:val="0"/>
          <w:numId w:val="15"/>
        </w:numPr>
      </w:pPr>
      <w:r>
        <w:t>retailer</w:t>
      </w:r>
      <w:r w:rsidR="009B07B0">
        <w:t>s of RTE delicatessen products</w:t>
      </w:r>
    </w:p>
    <w:p w14:paraId="7C14CFD1" w14:textId="77777777" w:rsidR="003A409C" w:rsidRDefault="003A409C" w:rsidP="009B07B0"/>
    <w:p w14:paraId="7F5B48D5" w14:textId="606E4FF6" w:rsidR="003A409C" w:rsidRDefault="00700A3D" w:rsidP="009B07B0">
      <w:r>
        <w:lastRenderedPageBreak/>
        <w:t>FSANZ considers these businesses to be in scope for the purposes of this Proposal and its assessment. Our summary of key food handling characteristics for these businesses is provided in Table 1. Further details are provided in section 2.</w:t>
      </w:r>
    </w:p>
    <w:p w14:paraId="7913B4FC" w14:textId="77777777" w:rsidR="00700A3D" w:rsidRDefault="00700A3D" w:rsidP="00700A3D">
      <w:pPr>
        <w:pStyle w:val="Heading2"/>
      </w:pPr>
      <w:bookmarkStart w:id="4" w:name="_Toc33094505"/>
      <w:r>
        <w:t>1.3</w:t>
      </w:r>
      <w:r>
        <w:tab/>
        <w:t>Request for stakeholder input</w:t>
      </w:r>
      <w:bookmarkEnd w:id="4"/>
      <w:r>
        <w:t xml:space="preserve"> </w:t>
      </w:r>
    </w:p>
    <w:p w14:paraId="04131865" w14:textId="31F783ED" w:rsidR="00700A3D" w:rsidRDefault="00700A3D" w:rsidP="00A8795C">
      <w:r>
        <w:t xml:space="preserve">Through this discussion paper, FSANZ is seeking further information to inform its assessment of the measures proposed by Ministers and, in particular, </w:t>
      </w:r>
      <w:r w:rsidR="001D14EC">
        <w:t xml:space="preserve">to </w:t>
      </w:r>
      <w:r>
        <w:t>better understand the:</w:t>
      </w:r>
    </w:p>
    <w:p w14:paraId="6B9B7D15" w14:textId="46D0B964" w:rsidR="00700A3D" w:rsidRDefault="00700A3D" w:rsidP="0062121C">
      <w:pPr>
        <w:pStyle w:val="ListParagraph"/>
        <w:numPr>
          <w:ilvl w:val="0"/>
          <w:numId w:val="17"/>
        </w:numPr>
      </w:pPr>
      <w:r>
        <w:t xml:space="preserve">gap between current practice and the possible regulatory measures outlined in section </w:t>
      </w:r>
      <w:r w:rsidR="000D0AB4">
        <w:t>4</w:t>
      </w:r>
    </w:p>
    <w:p w14:paraId="471A76C7" w14:textId="77777777" w:rsidR="00700A3D" w:rsidRDefault="00700A3D" w:rsidP="0062121C">
      <w:pPr>
        <w:pStyle w:val="ListParagraph"/>
        <w:numPr>
          <w:ilvl w:val="0"/>
          <w:numId w:val="17"/>
        </w:numPr>
      </w:pPr>
      <w:r>
        <w:t xml:space="preserve">imposts of implementing the potential requirements </w:t>
      </w:r>
    </w:p>
    <w:p w14:paraId="5D4B9CB6" w14:textId="06E51606" w:rsidR="00700A3D" w:rsidRDefault="00700A3D" w:rsidP="0062121C">
      <w:pPr>
        <w:pStyle w:val="ListParagraph"/>
        <w:numPr>
          <w:ilvl w:val="0"/>
          <w:numId w:val="17"/>
        </w:numPr>
      </w:pPr>
      <w:r>
        <w:t>benefits of implementing the potential requirements</w:t>
      </w:r>
      <w:r w:rsidR="007100A2">
        <w:t xml:space="preserve">, including stakeholders views on whether and how these tools – if mandated - improve food safety outcomes and reduce the incidence of foodborne illness. </w:t>
      </w:r>
    </w:p>
    <w:p w14:paraId="38C7EBF4" w14:textId="77777777" w:rsidR="00700A3D" w:rsidRDefault="00700A3D" w:rsidP="00A8795C">
      <w:r>
        <w:t>FSANZ welcomes information from businesses who:</w:t>
      </w:r>
    </w:p>
    <w:p w14:paraId="68B3B074" w14:textId="77777777" w:rsidR="00700A3D" w:rsidRDefault="00700A3D" w:rsidP="0062121C">
      <w:pPr>
        <w:pStyle w:val="ListParagraph"/>
        <w:numPr>
          <w:ilvl w:val="0"/>
          <w:numId w:val="16"/>
        </w:numPr>
      </w:pPr>
      <w:r>
        <w:t xml:space="preserve">are already required by state or territory food law to implement food safety management tool/s in addition to the Code requirements </w:t>
      </w:r>
    </w:p>
    <w:p w14:paraId="5085308D" w14:textId="77777777" w:rsidR="00700A3D" w:rsidRDefault="00700A3D" w:rsidP="0062121C">
      <w:pPr>
        <w:pStyle w:val="ListParagraph"/>
        <w:numPr>
          <w:ilvl w:val="0"/>
          <w:numId w:val="16"/>
        </w:numPr>
      </w:pPr>
      <w:r>
        <w:t xml:space="preserve">have voluntarily implemented one or more of these tools even though there is currently no legislative requirement to do so </w:t>
      </w:r>
    </w:p>
    <w:p w14:paraId="20A465F8" w14:textId="77777777" w:rsidR="00700A3D" w:rsidRDefault="00700A3D" w:rsidP="0062121C">
      <w:pPr>
        <w:pStyle w:val="ListParagraph"/>
        <w:numPr>
          <w:ilvl w:val="0"/>
          <w:numId w:val="16"/>
        </w:numPr>
      </w:pPr>
      <w:r>
        <w:t>do not implement any of the identified food safety management tools.</w:t>
      </w:r>
    </w:p>
    <w:p w14:paraId="5DE89F47" w14:textId="77777777" w:rsidR="00700A3D" w:rsidRDefault="00700A3D" w:rsidP="00A8795C">
      <w:r>
        <w:t>We are especially interested in the specific information listed in question boxes throughout the paper.</w:t>
      </w:r>
    </w:p>
    <w:p w14:paraId="0AF28521" w14:textId="77777777" w:rsidR="00700A3D" w:rsidRDefault="00700A3D" w:rsidP="00700A3D">
      <w:pPr>
        <w:pStyle w:val="Heading1"/>
      </w:pPr>
      <w:bookmarkStart w:id="5" w:name="_Toc33094506"/>
      <w:r>
        <w:t>2.</w:t>
      </w:r>
      <w:r>
        <w:tab/>
        <w:t>Characteristics of in-scope businesses</w:t>
      </w:r>
      <w:bookmarkEnd w:id="5"/>
    </w:p>
    <w:p w14:paraId="14E9F1AC" w14:textId="77777777" w:rsidR="00700A3D" w:rsidRDefault="00700A3D" w:rsidP="00700A3D">
      <w:pPr>
        <w:pStyle w:val="Heading2"/>
      </w:pPr>
      <w:bookmarkStart w:id="6" w:name="_Toc33094507"/>
      <w:r>
        <w:t>2.1</w:t>
      </w:r>
      <w:r>
        <w:tab/>
        <w:t>Food handling activities</w:t>
      </w:r>
      <w:bookmarkEnd w:id="6"/>
    </w:p>
    <w:p w14:paraId="2D66633D" w14:textId="77777777" w:rsidR="0092316C" w:rsidRDefault="00700A3D" w:rsidP="0011465E">
      <w:r w:rsidRPr="00F170B6">
        <w:t>Under the national Risk Profiling Framework, businesses</w:t>
      </w:r>
      <w:r>
        <w:t xml:space="preserve"> are characterised by the type of activities they engage in. </w:t>
      </w:r>
      <w:r w:rsidR="00EB6588">
        <w:t xml:space="preserve">Some of these </w:t>
      </w:r>
      <w:r w:rsidR="0092316C">
        <w:t>characteristics</w:t>
      </w:r>
      <w:r w:rsidR="00EB6588">
        <w:t xml:space="preserve"> are provided as examples in</w:t>
      </w:r>
      <w:r w:rsidR="0092316C">
        <w:t xml:space="preserve"> Table 1.</w:t>
      </w:r>
    </w:p>
    <w:p w14:paraId="20AB724F" w14:textId="77777777" w:rsidR="00700A3D" w:rsidRDefault="00700A3D" w:rsidP="0011465E">
      <w:r>
        <w:t xml:space="preserve">Both P1 and P2 businesses handle potentially hazardous food (PHF) involving at least one step where control measures must be taken to ensure the safety of the food. </w:t>
      </w:r>
    </w:p>
    <w:p w14:paraId="6C4CF705" w14:textId="77777777" w:rsidR="00700A3D" w:rsidRDefault="00700A3D" w:rsidP="0011465E">
      <w:r>
        <w:t>PHF is food with certain characteristics that support the growth of pathogenic microorganisms or the production of toxins that may cause foodborne illness. Examples of PHF include products containing eggs, poultry, meat, seafood, fruit, vegetables, and cooked rice and pasta.</w:t>
      </w:r>
    </w:p>
    <w:p w14:paraId="5FAD6F1A" w14:textId="77777777" w:rsidR="00700A3D" w:rsidRDefault="00700A3D" w:rsidP="0011465E">
      <w:r>
        <w:t>P1 businesses generally prepare food in advance and often have challenging scales of p</w:t>
      </w:r>
      <w:r>
        <w:rPr>
          <w:spacing w:val="-2"/>
        </w:rPr>
        <w:t>r</w:t>
      </w:r>
      <w:r>
        <w:rPr>
          <w:spacing w:val="-3"/>
        </w:rPr>
        <w:t>o</w:t>
      </w:r>
      <w:r>
        <w:t>duc</w:t>
      </w:r>
      <w:r>
        <w:rPr>
          <w:spacing w:val="-2"/>
        </w:rPr>
        <w:t>t</w:t>
      </w:r>
      <w:r>
        <w:t>io</w:t>
      </w:r>
      <w:r>
        <w:rPr>
          <w:spacing w:val="-3"/>
        </w:rPr>
        <w:t>n</w:t>
      </w:r>
      <w:r>
        <w:t>/s</w:t>
      </w:r>
      <w:r>
        <w:rPr>
          <w:spacing w:val="-2"/>
        </w:rPr>
        <w:t>e</w:t>
      </w:r>
      <w:r>
        <w:t>r</w:t>
      </w:r>
      <w:r>
        <w:rPr>
          <w:spacing w:val="-3"/>
        </w:rPr>
        <w:t>v</w:t>
      </w:r>
      <w:r>
        <w:t xml:space="preserve">ice. P2 businesses generally handle final product, or make food for immediate consumption. </w:t>
      </w:r>
    </w:p>
    <w:p w14:paraId="1B8C350E" w14:textId="77777777" w:rsidR="00700A3D" w:rsidRDefault="00700A3D" w:rsidP="0011465E">
      <w:r>
        <w:t xml:space="preserve">Food service and related retail food businesses provide consumers with PHF that will be either eaten raw or is ready to eat without further cooking — there is no further step before consumption that would destroy any pathogens present (FSANZ 2016). These foods are higher risk (because of potential pathogen growth), especially if not immediately consumed. As such, they require careful handling to avoid contamination. They must also be kept under stringent temperature control to minimise the growth of any pathogens that may already be present in the food, and to prevent formation of toxins. </w:t>
      </w:r>
    </w:p>
    <w:p w14:paraId="6CDC102F" w14:textId="2F6B79BF" w:rsidR="00700A3D" w:rsidRDefault="00700A3D" w:rsidP="00700A3D">
      <w:pPr>
        <w:rPr>
          <w:b/>
          <w:i/>
        </w:rPr>
      </w:pPr>
      <w:r>
        <w:rPr>
          <w:b/>
          <w:i/>
        </w:rPr>
        <w:t xml:space="preserve">Table </w:t>
      </w:r>
      <w:r>
        <w:rPr>
          <w:b/>
          <w:i/>
        </w:rPr>
        <w:fldChar w:fldCharType="begin"/>
      </w:r>
      <w:r>
        <w:rPr>
          <w:b/>
          <w:i/>
        </w:rPr>
        <w:instrText xml:space="preserve"> SEQ Table \* ARABIC </w:instrText>
      </w:r>
      <w:r>
        <w:rPr>
          <w:b/>
          <w:i/>
        </w:rPr>
        <w:fldChar w:fldCharType="separate"/>
      </w:r>
      <w:r>
        <w:rPr>
          <w:b/>
          <w:i/>
          <w:noProof/>
        </w:rPr>
        <w:t>1</w:t>
      </w:r>
      <w:r>
        <w:rPr>
          <w:b/>
          <w:i/>
        </w:rPr>
        <w:fldChar w:fldCharType="end"/>
      </w:r>
      <w:r w:rsidR="00D9432C">
        <w:rPr>
          <w:b/>
          <w:i/>
        </w:rPr>
        <w:t>.</w:t>
      </w:r>
      <w:r>
        <w:rPr>
          <w:b/>
          <w:i/>
        </w:rPr>
        <w:t xml:space="preserve"> </w:t>
      </w:r>
      <w:r w:rsidR="00EB6588">
        <w:rPr>
          <w:b/>
          <w:i/>
        </w:rPr>
        <w:t xml:space="preserve">Example </w:t>
      </w:r>
      <w:r>
        <w:rPr>
          <w:b/>
          <w:i/>
        </w:rPr>
        <w:t>food handling characteristics and classification notes for in-scope business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2551"/>
        <w:gridCol w:w="1796"/>
        <w:gridCol w:w="2024"/>
      </w:tblGrid>
      <w:tr w:rsidR="00700A3D" w14:paraId="7031B93E" w14:textId="77777777" w:rsidTr="00700A3D">
        <w:trPr>
          <w:tblHeader/>
        </w:trPr>
        <w:tc>
          <w:tcPr>
            <w:tcW w:w="1484" w:type="pct"/>
            <w:tcBorders>
              <w:top w:val="single" w:sz="4" w:space="0" w:color="auto"/>
              <w:left w:val="single" w:sz="4" w:space="0" w:color="auto"/>
              <w:bottom w:val="single" w:sz="4" w:space="0" w:color="auto"/>
              <w:right w:val="single" w:sz="4" w:space="0" w:color="auto"/>
            </w:tcBorders>
            <w:shd w:val="clear" w:color="auto" w:fill="5B9BD5"/>
            <w:tcMar>
              <w:top w:w="0" w:type="dxa"/>
              <w:left w:w="108" w:type="dxa"/>
              <w:bottom w:w="0" w:type="dxa"/>
              <w:right w:w="108" w:type="dxa"/>
            </w:tcMar>
            <w:hideMark/>
          </w:tcPr>
          <w:p w14:paraId="5165BA75" w14:textId="77777777" w:rsidR="00700A3D" w:rsidRDefault="00700A3D">
            <w:pPr>
              <w:spacing w:before="94" w:after="94"/>
              <w:rPr>
                <w:rFonts w:cs="Arial"/>
                <w:b/>
                <w:sz w:val="18"/>
                <w:szCs w:val="18"/>
                <w:lang w:val="en-AU"/>
              </w:rPr>
            </w:pPr>
            <w:r>
              <w:rPr>
                <w:rFonts w:cs="Arial"/>
                <w:b/>
                <w:sz w:val="18"/>
                <w:szCs w:val="18"/>
                <w:lang w:val="en-AU"/>
              </w:rPr>
              <w:lastRenderedPageBreak/>
              <w:t>Food Business sector</w:t>
            </w:r>
          </w:p>
        </w:tc>
        <w:tc>
          <w:tcPr>
            <w:tcW w:w="1408" w:type="pct"/>
            <w:tcBorders>
              <w:top w:val="single" w:sz="4" w:space="0" w:color="auto"/>
              <w:left w:val="single" w:sz="4" w:space="0" w:color="auto"/>
              <w:bottom w:val="single" w:sz="4" w:space="0" w:color="auto"/>
              <w:right w:val="single" w:sz="4" w:space="0" w:color="auto"/>
            </w:tcBorders>
            <w:shd w:val="clear" w:color="auto" w:fill="5B9BD5"/>
            <w:tcMar>
              <w:top w:w="0" w:type="dxa"/>
              <w:left w:w="108" w:type="dxa"/>
              <w:bottom w:w="0" w:type="dxa"/>
              <w:right w:w="108" w:type="dxa"/>
            </w:tcMar>
            <w:hideMark/>
          </w:tcPr>
          <w:p w14:paraId="46AEFD2F" w14:textId="77777777" w:rsidR="00700A3D" w:rsidRDefault="00700A3D">
            <w:pPr>
              <w:spacing w:before="94" w:after="94"/>
              <w:rPr>
                <w:rFonts w:cs="Arial"/>
                <w:b/>
                <w:sz w:val="18"/>
                <w:szCs w:val="18"/>
                <w:lang w:val="en-AU"/>
              </w:rPr>
            </w:pPr>
            <w:r>
              <w:rPr>
                <w:rFonts w:cs="Arial"/>
                <w:b/>
                <w:sz w:val="18"/>
                <w:szCs w:val="18"/>
                <w:lang w:val="en-AU"/>
              </w:rPr>
              <w:t>Characteristics</w:t>
            </w:r>
          </w:p>
        </w:tc>
        <w:tc>
          <w:tcPr>
            <w:tcW w:w="991" w:type="pct"/>
            <w:tcBorders>
              <w:top w:val="single" w:sz="4" w:space="0" w:color="auto"/>
              <w:left w:val="single" w:sz="4" w:space="0" w:color="auto"/>
              <w:bottom w:val="single" w:sz="4" w:space="0" w:color="auto"/>
              <w:right w:val="single" w:sz="4" w:space="0" w:color="auto"/>
            </w:tcBorders>
            <w:shd w:val="clear" w:color="auto" w:fill="5B9BD5"/>
            <w:hideMark/>
          </w:tcPr>
          <w:p w14:paraId="032B1F49" w14:textId="77777777" w:rsidR="00C66597" w:rsidRDefault="00C66597" w:rsidP="00C66597">
            <w:pPr>
              <w:spacing w:before="94" w:after="94"/>
              <w:rPr>
                <w:rFonts w:cs="Arial"/>
                <w:b/>
                <w:sz w:val="18"/>
                <w:szCs w:val="18"/>
                <w:lang w:val="en-AU"/>
              </w:rPr>
            </w:pPr>
            <w:r>
              <w:rPr>
                <w:rFonts w:cs="Arial"/>
                <w:b/>
                <w:sz w:val="18"/>
                <w:szCs w:val="18"/>
                <w:lang w:val="en-AU"/>
              </w:rPr>
              <w:t xml:space="preserve">Example </w:t>
            </w:r>
            <w:r w:rsidR="00700A3D">
              <w:rPr>
                <w:rFonts w:cs="Arial"/>
                <w:b/>
                <w:sz w:val="18"/>
                <w:szCs w:val="18"/>
                <w:lang w:val="en-AU"/>
              </w:rPr>
              <w:t>controls</w:t>
            </w:r>
          </w:p>
          <w:p w14:paraId="4233D661" w14:textId="4023538A" w:rsidR="00700A3D" w:rsidRDefault="00700A3D" w:rsidP="00C66597">
            <w:pPr>
              <w:spacing w:before="94" w:after="94"/>
              <w:rPr>
                <w:rFonts w:cs="Arial"/>
                <w:b/>
                <w:sz w:val="18"/>
                <w:szCs w:val="18"/>
                <w:lang w:val="en-AU"/>
              </w:rPr>
            </w:pPr>
          </w:p>
        </w:tc>
        <w:tc>
          <w:tcPr>
            <w:tcW w:w="1117" w:type="pct"/>
            <w:tcBorders>
              <w:top w:val="single" w:sz="4" w:space="0" w:color="auto"/>
              <w:left w:val="single" w:sz="4" w:space="0" w:color="auto"/>
              <w:bottom w:val="single" w:sz="4" w:space="0" w:color="auto"/>
              <w:right w:val="single" w:sz="4" w:space="0" w:color="auto"/>
            </w:tcBorders>
            <w:shd w:val="clear" w:color="auto" w:fill="5B9BD5"/>
            <w:tcMar>
              <w:top w:w="0" w:type="dxa"/>
              <w:left w:w="108" w:type="dxa"/>
              <w:bottom w:w="0" w:type="dxa"/>
              <w:right w:w="108" w:type="dxa"/>
            </w:tcMar>
            <w:hideMark/>
          </w:tcPr>
          <w:p w14:paraId="59B42D11" w14:textId="77777777" w:rsidR="00700A3D" w:rsidRDefault="00700A3D">
            <w:pPr>
              <w:spacing w:before="94" w:after="94"/>
              <w:rPr>
                <w:rFonts w:cs="Arial"/>
                <w:b/>
                <w:sz w:val="18"/>
                <w:szCs w:val="18"/>
                <w:lang w:val="en-AU"/>
              </w:rPr>
            </w:pPr>
            <w:r>
              <w:rPr>
                <w:rFonts w:cs="Arial"/>
                <w:b/>
                <w:sz w:val="18"/>
                <w:szCs w:val="18"/>
                <w:lang w:val="en-AU"/>
              </w:rPr>
              <w:t>Classification notes</w:t>
            </w:r>
          </w:p>
        </w:tc>
      </w:tr>
      <w:tr w:rsidR="00700A3D" w14:paraId="13B7A183" w14:textId="77777777" w:rsidTr="00700A3D">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3E9C7815" w14:textId="77777777" w:rsidR="00700A3D" w:rsidRDefault="00700A3D">
            <w:pPr>
              <w:spacing w:before="94" w:after="94"/>
              <w:rPr>
                <w:rFonts w:cs="Arial"/>
                <w:b/>
                <w:sz w:val="18"/>
                <w:szCs w:val="18"/>
                <w:lang w:val="en-AU"/>
              </w:rPr>
            </w:pPr>
            <w:r>
              <w:rPr>
                <w:rFonts w:cs="Arial"/>
                <w:b/>
                <w:sz w:val="18"/>
                <w:szCs w:val="18"/>
                <w:lang w:val="en-AU"/>
              </w:rPr>
              <w:t>P1</w:t>
            </w:r>
          </w:p>
        </w:tc>
      </w:tr>
      <w:tr w:rsidR="00700A3D" w14:paraId="5E93BB97"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BD6F1" w14:textId="77777777" w:rsidR="00700A3D" w:rsidRDefault="00700A3D">
            <w:pPr>
              <w:spacing w:before="94" w:after="94"/>
              <w:rPr>
                <w:rFonts w:cs="Arial"/>
                <w:sz w:val="18"/>
                <w:szCs w:val="18"/>
                <w:lang w:val="en-AU"/>
              </w:rPr>
            </w:pPr>
            <w:r>
              <w:rPr>
                <w:rFonts w:cs="Arial"/>
                <w:sz w:val="18"/>
                <w:szCs w:val="18"/>
                <w:lang w:val="en-AU"/>
              </w:rPr>
              <w:t xml:space="preserve">Off-site catering and on-site catering </w:t>
            </w: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17F70" w14:textId="0948455B" w:rsidR="00700A3D" w:rsidRDefault="00EB6588">
            <w:pPr>
              <w:spacing w:before="94" w:after="94"/>
              <w:rPr>
                <w:rFonts w:cs="Arial"/>
                <w:sz w:val="18"/>
                <w:szCs w:val="18"/>
                <w:lang w:val="en-AU"/>
              </w:rPr>
            </w:pPr>
            <w:r>
              <w:rPr>
                <w:rFonts w:cs="Arial"/>
                <w:sz w:val="18"/>
                <w:szCs w:val="18"/>
                <w:lang w:val="en-AU"/>
              </w:rPr>
              <w:t xml:space="preserve">High risk, </w:t>
            </w:r>
            <w:r w:rsidR="00700A3D">
              <w:rPr>
                <w:rFonts w:cs="Arial"/>
                <w:sz w:val="18"/>
                <w:szCs w:val="18"/>
                <w:lang w:val="en-AU"/>
              </w:rPr>
              <w:t>processed, pre-prepared ready-to-eat (RTE) food that is either eaten on-site or transported to another location</w:t>
            </w:r>
          </w:p>
          <w:p w14:paraId="58F2EC1D" w14:textId="77777777" w:rsidR="00700A3D" w:rsidRDefault="00700A3D">
            <w:pPr>
              <w:spacing w:before="94" w:after="94"/>
              <w:rPr>
                <w:rFonts w:cs="Arial"/>
                <w:sz w:val="18"/>
                <w:szCs w:val="18"/>
                <w:lang w:val="en-AU"/>
              </w:rPr>
            </w:pPr>
          </w:p>
        </w:tc>
        <w:tc>
          <w:tcPr>
            <w:tcW w:w="991" w:type="pct"/>
            <w:tcBorders>
              <w:top w:val="single" w:sz="4" w:space="0" w:color="auto"/>
              <w:left w:val="single" w:sz="4" w:space="0" w:color="auto"/>
              <w:bottom w:val="single" w:sz="4" w:space="0" w:color="auto"/>
              <w:right w:val="single" w:sz="4" w:space="0" w:color="auto"/>
            </w:tcBorders>
            <w:hideMark/>
          </w:tcPr>
          <w:p w14:paraId="7A58FB42" w14:textId="77777777" w:rsidR="00700A3D" w:rsidRDefault="00700A3D">
            <w:pPr>
              <w:spacing w:before="94" w:after="94"/>
              <w:rPr>
                <w:rFonts w:cs="Arial"/>
                <w:sz w:val="18"/>
                <w:szCs w:val="18"/>
                <w:lang w:val="en-AU"/>
              </w:rPr>
            </w:pPr>
            <w:r>
              <w:rPr>
                <w:rFonts w:cs="Arial"/>
                <w:sz w:val="18"/>
                <w:szCs w:val="18"/>
                <w:lang w:val="en-AU"/>
              </w:rPr>
              <w:t>Refrigerated storage, cooking, cooling, reheating or hot-holding</w:t>
            </w: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C144E" w14:textId="780A50BA" w:rsidR="00700A3D" w:rsidRDefault="0092316C" w:rsidP="0092316C">
            <w:pPr>
              <w:spacing w:before="94" w:after="94"/>
              <w:rPr>
                <w:rFonts w:cs="Arial"/>
                <w:sz w:val="18"/>
                <w:szCs w:val="18"/>
                <w:lang w:val="en-AU"/>
              </w:rPr>
            </w:pPr>
            <w:r>
              <w:rPr>
                <w:rFonts w:cs="Arial"/>
                <w:sz w:val="18"/>
                <w:szCs w:val="18"/>
                <w:lang w:val="en-AU"/>
              </w:rPr>
              <w:t>Handle raw food, food p</w:t>
            </w:r>
            <w:r w:rsidR="00700A3D">
              <w:rPr>
                <w:rFonts w:cs="Arial"/>
                <w:sz w:val="18"/>
                <w:szCs w:val="18"/>
                <w:lang w:val="en-AU"/>
              </w:rPr>
              <w:t>repared in advance (time delay before consumption), scale of p</w:t>
            </w:r>
            <w:r w:rsidR="00700A3D">
              <w:rPr>
                <w:rFonts w:cs="Arial"/>
                <w:spacing w:val="-2"/>
                <w:sz w:val="18"/>
                <w:szCs w:val="18"/>
                <w:lang w:val="en-AU"/>
              </w:rPr>
              <w:t>r</w:t>
            </w:r>
            <w:r w:rsidR="00700A3D">
              <w:rPr>
                <w:rFonts w:cs="Arial"/>
                <w:spacing w:val="-3"/>
                <w:sz w:val="18"/>
                <w:szCs w:val="18"/>
                <w:lang w:val="en-AU"/>
              </w:rPr>
              <w:t>o</w:t>
            </w:r>
            <w:r w:rsidR="00700A3D">
              <w:rPr>
                <w:rFonts w:cs="Arial"/>
                <w:sz w:val="18"/>
                <w:szCs w:val="18"/>
                <w:lang w:val="en-AU"/>
              </w:rPr>
              <w:t>duc</w:t>
            </w:r>
            <w:r w:rsidR="00700A3D">
              <w:rPr>
                <w:rFonts w:cs="Arial"/>
                <w:spacing w:val="-2"/>
                <w:sz w:val="18"/>
                <w:szCs w:val="18"/>
                <w:lang w:val="en-AU"/>
              </w:rPr>
              <w:t>t</w:t>
            </w:r>
            <w:r w:rsidR="00700A3D">
              <w:rPr>
                <w:rFonts w:cs="Arial"/>
                <w:sz w:val="18"/>
                <w:szCs w:val="18"/>
                <w:lang w:val="en-AU"/>
              </w:rPr>
              <w:t>io</w:t>
            </w:r>
            <w:r w:rsidR="00700A3D">
              <w:rPr>
                <w:rFonts w:cs="Arial"/>
                <w:spacing w:val="-3"/>
                <w:sz w:val="18"/>
                <w:szCs w:val="18"/>
                <w:lang w:val="en-AU"/>
              </w:rPr>
              <w:t>n</w:t>
            </w:r>
            <w:r w:rsidR="00700A3D">
              <w:rPr>
                <w:rFonts w:cs="Arial"/>
                <w:sz w:val="18"/>
                <w:szCs w:val="18"/>
                <w:lang w:val="en-AU"/>
              </w:rPr>
              <w:t>/s</w:t>
            </w:r>
            <w:r w:rsidR="00700A3D">
              <w:rPr>
                <w:rFonts w:cs="Arial"/>
                <w:spacing w:val="-2"/>
                <w:sz w:val="18"/>
                <w:szCs w:val="18"/>
                <w:lang w:val="en-AU"/>
              </w:rPr>
              <w:t>e</w:t>
            </w:r>
            <w:r w:rsidR="00700A3D">
              <w:rPr>
                <w:rFonts w:cs="Arial"/>
                <w:sz w:val="18"/>
                <w:szCs w:val="18"/>
                <w:lang w:val="en-AU"/>
              </w:rPr>
              <w:t>r</w:t>
            </w:r>
            <w:r w:rsidR="00700A3D">
              <w:rPr>
                <w:rFonts w:cs="Arial"/>
                <w:spacing w:val="-3"/>
                <w:sz w:val="18"/>
                <w:szCs w:val="18"/>
                <w:lang w:val="en-AU"/>
              </w:rPr>
              <w:t>v</w:t>
            </w:r>
            <w:r w:rsidR="00700A3D">
              <w:rPr>
                <w:rFonts w:cs="Arial"/>
                <w:sz w:val="18"/>
                <w:szCs w:val="18"/>
                <w:lang w:val="en-AU"/>
              </w:rPr>
              <w:t>ice</w:t>
            </w:r>
          </w:p>
        </w:tc>
      </w:tr>
      <w:tr w:rsidR="00700A3D" w14:paraId="4EBB2140"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8617" w14:textId="77777777" w:rsidR="00700A3D" w:rsidRDefault="00700A3D">
            <w:pPr>
              <w:spacing w:before="94" w:after="94"/>
              <w:rPr>
                <w:rFonts w:cs="Arial"/>
                <w:sz w:val="18"/>
                <w:szCs w:val="18"/>
                <w:lang w:val="en-AU"/>
              </w:rPr>
            </w:pPr>
            <w:r>
              <w:rPr>
                <w:rFonts w:cs="Arial"/>
                <w:sz w:val="18"/>
                <w:szCs w:val="18"/>
                <w:lang w:val="en-AU"/>
              </w:rPr>
              <w:t xml:space="preserve">Food service: RTE food prepared in advance </w:t>
            </w:r>
          </w:p>
          <w:p w14:paraId="17751253" w14:textId="733A3A51" w:rsidR="00700A3D" w:rsidRDefault="00EE0940">
            <w:pPr>
              <w:spacing w:before="94" w:after="94"/>
              <w:rPr>
                <w:rFonts w:cs="Arial"/>
                <w:sz w:val="18"/>
                <w:szCs w:val="18"/>
                <w:lang w:val="en-AU"/>
              </w:rPr>
            </w:pPr>
            <w:r>
              <w:rPr>
                <w:rFonts w:cs="Arial"/>
                <w:sz w:val="18"/>
                <w:szCs w:val="18"/>
                <w:lang w:val="en-AU"/>
              </w:rPr>
              <w:t>(</w:t>
            </w:r>
            <w:r w:rsidRPr="00DF4DAA">
              <w:rPr>
                <w:sz w:val="18"/>
                <w:szCs w:val="18"/>
              </w:rPr>
              <w:t xml:space="preserve">e.g. </w:t>
            </w:r>
            <w:r>
              <w:rPr>
                <w:sz w:val="18"/>
                <w:szCs w:val="18"/>
              </w:rPr>
              <w:t>eating establishments such as restaurants and café’s</w:t>
            </w:r>
            <w:r w:rsidR="00700A3D">
              <w:rPr>
                <w:rFonts w:cs="Arial"/>
                <w:sz w:val="18"/>
                <w:szCs w:val="18"/>
                <w:lang w:val="en-AU"/>
              </w:rPr>
              <w:t>)</w:t>
            </w:r>
          </w:p>
          <w:p w14:paraId="014CB832" w14:textId="77777777" w:rsidR="00700A3D" w:rsidRDefault="00700A3D">
            <w:pPr>
              <w:spacing w:before="94" w:after="94"/>
              <w:rPr>
                <w:rFonts w:cs="Arial"/>
                <w:sz w:val="18"/>
                <w:szCs w:val="18"/>
                <w:lang w:val="en-AU"/>
              </w:rPr>
            </w:pP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318EC" w14:textId="77777777" w:rsidR="00700A3D" w:rsidRDefault="00700A3D">
            <w:pPr>
              <w:spacing w:before="94" w:after="94"/>
              <w:rPr>
                <w:rFonts w:cs="Arial"/>
                <w:sz w:val="18"/>
                <w:szCs w:val="18"/>
                <w:lang w:val="en-AU"/>
              </w:rPr>
            </w:pPr>
            <w:r>
              <w:rPr>
                <w:rFonts w:cs="Arial"/>
                <w:sz w:val="18"/>
                <w:szCs w:val="18"/>
                <w:lang w:val="en-AU"/>
              </w:rPr>
              <w:t>High risk, processed, RTE food, time delay before serving</w:t>
            </w:r>
          </w:p>
        </w:tc>
        <w:tc>
          <w:tcPr>
            <w:tcW w:w="991" w:type="pct"/>
            <w:tcBorders>
              <w:top w:val="single" w:sz="4" w:space="0" w:color="auto"/>
              <w:left w:val="single" w:sz="4" w:space="0" w:color="auto"/>
              <w:bottom w:val="single" w:sz="4" w:space="0" w:color="auto"/>
              <w:right w:val="single" w:sz="4" w:space="0" w:color="auto"/>
            </w:tcBorders>
            <w:hideMark/>
          </w:tcPr>
          <w:p w14:paraId="64200FDE" w14:textId="77777777" w:rsidR="00700A3D" w:rsidRDefault="00700A3D">
            <w:pPr>
              <w:spacing w:before="94" w:after="94"/>
              <w:rPr>
                <w:rFonts w:cs="Arial"/>
                <w:sz w:val="18"/>
                <w:szCs w:val="18"/>
                <w:lang w:val="en-AU"/>
              </w:rPr>
            </w:pPr>
            <w:r>
              <w:rPr>
                <w:rFonts w:cs="Arial"/>
                <w:sz w:val="18"/>
                <w:szCs w:val="18"/>
                <w:lang w:val="en-AU"/>
              </w:rPr>
              <w:t>Refrigerated storage, cooking, cooling, reheating, hot or cold holding</w:t>
            </w: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D9FE0" w14:textId="7C2929AA" w:rsidR="00700A3D" w:rsidRDefault="0092316C" w:rsidP="0092316C">
            <w:pPr>
              <w:spacing w:before="94" w:after="94"/>
              <w:rPr>
                <w:rFonts w:cs="Arial"/>
                <w:sz w:val="18"/>
                <w:szCs w:val="18"/>
                <w:lang w:val="en-AU"/>
              </w:rPr>
            </w:pPr>
            <w:r>
              <w:rPr>
                <w:rFonts w:cs="Arial"/>
                <w:sz w:val="18"/>
                <w:szCs w:val="18"/>
                <w:lang w:val="en-AU"/>
              </w:rPr>
              <w:t>Handle raw food, food prep</w:t>
            </w:r>
            <w:r w:rsidR="00700A3D">
              <w:rPr>
                <w:rFonts w:cs="Arial"/>
                <w:sz w:val="18"/>
                <w:szCs w:val="18"/>
                <w:lang w:val="en-AU"/>
              </w:rPr>
              <w:t>ared in advance (time delay before consumption), scale of p</w:t>
            </w:r>
            <w:r w:rsidR="00700A3D">
              <w:rPr>
                <w:rFonts w:cs="Arial"/>
                <w:spacing w:val="-2"/>
                <w:sz w:val="18"/>
                <w:szCs w:val="18"/>
                <w:lang w:val="en-AU"/>
              </w:rPr>
              <w:t>r</w:t>
            </w:r>
            <w:r w:rsidR="00700A3D">
              <w:rPr>
                <w:rFonts w:cs="Arial"/>
                <w:spacing w:val="-3"/>
                <w:sz w:val="18"/>
                <w:szCs w:val="18"/>
                <w:lang w:val="en-AU"/>
              </w:rPr>
              <w:t>o</w:t>
            </w:r>
            <w:r w:rsidR="00700A3D">
              <w:rPr>
                <w:rFonts w:cs="Arial"/>
                <w:sz w:val="18"/>
                <w:szCs w:val="18"/>
                <w:lang w:val="en-AU"/>
              </w:rPr>
              <w:t>duc</w:t>
            </w:r>
            <w:r w:rsidR="00700A3D">
              <w:rPr>
                <w:rFonts w:cs="Arial"/>
                <w:spacing w:val="-2"/>
                <w:sz w:val="18"/>
                <w:szCs w:val="18"/>
                <w:lang w:val="en-AU"/>
              </w:rPr>
              <w:t>t</w:t>
            </w:r>
            <w:r w:rsidR="00700A3D">
              <w:rPr>
                <w:rFonts w:cs="Arial"/>
                <w:sz w:val="18"/>
                <w:szCs w:val="18"/>
                <w:lang w:val="en-AU"/>
              </w:rPr>
              <w:t>io</w:t>
            </w:r>
            <w:r w:rsidR="00700A3D">
              <w:rPr>
                <w:rFonts w:cs="Arial"/>
                <w:spacing w:val="-3"/>
                <w:sz w:val="18"/>
                <w:szCs w:val="18"/>
                <w:lang w:val="en-AU"/>
              </w:rPr>
              <w:t>n</w:t>
            </w:r>
            <w:r w:rsidR="00700A3D">
              <w:rPr>
                <w:rFonts w:cs="Arial"/>
                <w:sz w:val="18"/>
                <w:szCs w:val="18"/>
                <w:lang w:val="en-AU"/>
              </w:rPr>
              <w:t>/s</w:t>
            </w:r>
            <w:r w:rsidR="00700A3D">
              <w:rPr>
                <w:rFonts w:cs="Arial"/>
                <w:spacing w:val="-2"/>
                <w:sz w:val="18"/>
                <w:szCs w:val="18"/>
                <w:lang w:val="en-AU"/>
              </w:rPr>
              <w:t>e</w:t>
            </w:r>
            <w:r w:rsidR="00700A3D">
              <w:rPr>
                <w:rFonts w:cs="Arial"/>
                <w:sz w:val="18"/>
                <w:szCs w:val="18"/>
                <w:lang w:val="en-AU"/>
              </w:rPr>
              <w:t>r</w:t>
            </w:r>
            <w:r w:rsidR="00700A3D">
              <w:rPr>
                <w:rFonts w:cs="Arial"/>
                <w:spacing w:val="-3"/>
                <w:sz w:val="18"/>
                <w:szCs w:val="18"/>
                <w:lang w:val="en-AU"/>
              </w:rPr>
              <w:t>v</w:t>
            </w:r>
            <w:r w:rsidR="00700A3D">
              <w:rPr>
                <w:rFonts w:cs="Arial"/>
                <w:sz w:val="18"/>
                <w:szCs w:val="18"/>
                <w:lang w:val="en-AU"/>
              </w:rPr>
              <w:t>ice</w:t>
            </w:r>
          </w:p>
        </w:tc>
      </w:tr>
      <w:tr w:rsidR="00700A3D" w14:paraId="43761539"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77C06" w14:textId="61EE9C0B" w:rsidR="00700A3D" w:rsidRDefault="00700A3D" w:rsidP="00EE0940">
            <w:pPr>
              <w:spacing w:before="94" w:after="94"/>
              <w:rPr>
                <w:rFonts w:cs="Arial"/>
                <w:sz w:val="18"/>
                <w:szCs w:val="18"/>
                <w:lang w:val="en-AU"/>
              </w:rPr>
            </w:pPr>
            <w:r>
              <w:rPr>
                <w:rFonts w:cs="Arial"/>
                <w:sz w:val="18"/>
                <w:szCs w:val="18"/>
                <w:lang w:val="en-AU"/>
              </w:rPr>
              <w:t xml:space="preserve">Retailer </w:t>
            </w:r>
            <w:r w:rsidR="00EE0940">
              <w:rPr>
                <w:rFonts w:cs="Arial"/>
                <w:sz w:val="18"/>
                <w:szCs w:val="18"/>
                <w:lang w:val="en-AU"/>
              </w:rPr>
              <w:t xml:space="preserve">which is also a </w:t>
            </w:r>
            <w:r>
              <w:rPr>
                <w:rFonts w:cs="Arial"/>
                <w:sz w:val="18"/>
                <w:szCs w:val="18"/>
                <w:lang w:val="en-AU"/>
              </w:rPr>
              <w:t>processor of: bakery products containing PHF fillings</w:t>
            </w: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DE1F9" w14:textId="77777777" w:rsidR="00700A3D" w:rsidRDefault="00700A3D">
            <w:pPr>
              <w:spacing w:before="94" w:after="94"/>
              <w:rPr>
                <w:rFonts w:cs="Arial"/>
                <w:sz w:val="18"/>
                <w:szCs w:val="18"/>
                <w:lang w:val="en-AU"/>
              </w:rPr>
            </w:pPr>
            <w:r>
              <w:rPr>
                <w:rFonts w:cs="Arial"/>
                <w:sz w:val="18"/>
                <w:szCs w:val="18"/>
                <w:lang w:val="en-AU"/>
              </w:rPr>
              <w:t>High risk, RTE food, consumed cold or hot</w:t>
            </w:r>
          </w:p>
        </w:tc>
        <w:tc>
          <w:tcPr>
            <w:tcW w:w="991" w:type="pct"/>
            <w:tcBorders>
              <w:top w:val="single" w:sz="4" w:space="0" w:color="auto"/>
              <w:left w:val="single" w:sz="4" w:space="0" w:color="auto"/>
              <w:bottom w:val="single" w:sz="4" w:space="0" w:color="auto"/>
              <w:right w:val="single" w:sz="4" w:space="0" w:color="auto"/>
            </w:tcBorders>
          </w:tcPr>
          <w:p w14:paraId="0CB2E799" w14:textId="77777777" w:rsidR="00700A3D" w:rsidRDefault="00700A3D">
            <w:pPr>
              <w:spacing w:before="94" w:after="94"/>
              <w:rPr>
                <w:rFonts w:cs="Arial"/>
                <w:sz w:val="18"/>
                <w:szCs w:val="18"/>
                <w:lang w:val="en-AU"/>
              </w:rPr>
            </w:pPr>
            <w:r>
              <w:rPr>
                <w:rFonts w:cs="Arial"/>
                <w:sz w:val="18"/>
                <w:szCs w:val="18"/>
                <w:lang w:val="en-AU"/>
              </w:rPr>
              <w:t>Refrigerated storage, cooking, cooling</w:t>
            </w:r>
          </w:p>
          <w:p w14:paraId="466B9FC4" w14:textId="77777777" w:rsidR="00700A3D" w:rsidRDefault="00700A3D">
            <w:pPr>
              <w:spacing w:before="94" w:after="94"/>
              <w:rPr>
                <w:rFonts w:cs="Arial"/>
                <w:sz w:val="18"/>
                <w:szCs w:val="18"/>
                <w:lang w:val="en-AU"/>
              </w:rPr>
            </w:pP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CEB1C" w14:textId="483D2AD3" w:rsidR="00700A3D" w:rsidRDefault="0092316C">
            <w:pPr>
              <w:spacing w:before="94" w:after="94"/>
              <w:rPr>
                <w:rFonts w:cs="Arial"/>
                <w:sz w:val="18"/>
                <w:szCs w:val="18"/>
                <w:lang w:val="en-AU"/>
              </w:rPr>
            </w:pPr>
            <w:r>
              <w:rPr>
                <w:rFonts w:cs="Arial"/>
                <w:sz w:val="18"/>
                <w:szCs w:val="18"/>
                <w:lang w:val="en-AU"/>
              </w:rPr>
              <w:t>Handle raw food, food p</w:t>
            </w:r>
            <w:r w:rsidR="00700A3D">
              <w:rPr>
                <w:rFonts w:cs="Arial"/>
                <w:sz w:val="18"/>
                <w:szCs w:val="18"/>
                <w:lang w:val="en-AU"/>
              </w:rPr>
              <w:t>repared in advance (time delay before consumption)</w:t>
            </w:r>
            <w:r>
              <w:rPr>
                <w:rFonts w:cs="Arial"/>
                <w:sz w:val="18"/>
                <w:szCs w:val="18"/>
                <w:lang w:val="en-AU"/>
              </w:rPr>
              <w:t xml:space="preserve"> </w:t>
            </w:r>
          </w:p>
          <w:p w14:paraId="1B3460E6" w14:textId="77777777" w:rsidR="00700A3D" w:rsidRDefault="00700A3D">
            <w:pPr>
              <w:spacing w:before="94" w:after="94"/>
              <w:rPr>
                <w:rFonts w:cs="Arial"/>
                <w:sz w:val="18"/>
                <w:szCs w:val="18"/>
                <w:lang w:val="en-AU"/>
              </w:rPr>
            </w:pPr>
          </w:p>
        </w:tc>
      </w:tr>
      <w:tr w:rsidR="00700A3D" w14:paraId="6C085F48" w14:textId="77777777" w:rsidTr="00700A3D">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2418F1FE" w14:textId="77777777" w:rsidR="00700A3D" w:rsidRDefault="00700A3D">
            <w:pPr>
              <w:spacing w:before="94" w:after="94"/>
              <w:rPr>
                <w:rFonts w:cs="Arial"/>
                <w:sz w:val="18"/>
                <w:szCs w:val="18"/>
                <w:lang w:val="en-AU"/>
              </w:rPr>
            </w:pPr>
            <w:r>
              <w:rPr>
                <w:rFonts w:cs="Arial"/>
                <w:b/>
                <w:sz w:val="18"/>
                <w:szCs w:val="18"/>
                <w:lang w:val="en-AU"/>
              </w:rPr>
              <w:t xml:space="preserve">P2 </w:t>
            </w:r>
          </w:p>
        </w:tc>
      </w:tr>
      <w:tr w:rsidR="00700A3D" w14:paraId="33BB68D5"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C4E56" w14:textId="77777777" w:rsidR="00700A3D" w:rsidRDefault="00700A3D">
            <w:pPr>
              <w:spacing w:before="94" w:after="94"/>
              <w:rPr>
                <w:rFonts w:cs="Arial"/>
                <w:sz w:val="18"/>
                <w:szCs w:val="18"/>
                <w:lang w:val="en-AU"/>
              </w:rPr>
            </w:pPr>
            <w:r>
              <w:rPr>
                <w:rFonts w:cs="Arial"/>
                <w:sz w:val="18"/>
                <w:szCs w:val="18"/>
                <w:lang w:val="en-AU"/>
              </w:rPr>
              <w:t xml:space="preserve">Food service: express order </w:t>
            </w:r>
          </w:p>
          <w:p w14:paraId="5C95F269" w14:textId="04208FC2" w:rsidR="00700A3D" w:rsidRDefault="00700A3D">
            <w:pPr>
              <w:spacing w:before="94" w:after="94"/>
              <w:rPr>
                <w:rFonts w:cs="Arial"/>
                <w:sz w:val="18"/>
                <w:szCs w:val="18"/>
                <w:lang w:val="en-AU"/>
              </w:rPr>
            </w:pPr>
            <w:r>
              <w:rPr>
                <w:rFonts w:cs="Arial"/>
                <w:sz w:val="18"/>
                <w:szCs w:val="18"/>
                <w:lang w:val="en-AU"/>
              </w:rPr>
              <w:t xml:space="preserve">(e.g. </w:t>
            </w:r>
            <w:r w:rsidR="00EE0940" w:rsidRPr="00DF4DAA">
              <w:rPr>
                <w:sz w:val="18"/>
                <w:szCs w:val="18"/>
              </w:rPr>
              <w:t>eating establishments or take-away businesses that do not prepare food in advance</w:t>
            </w:r>
            <w:r>
              <w:rPr>
                <w:rFonts w:cs="Arial"/>
                <w:sz w:val="18"/>
                <w:szCs w:val="18"/>
                <w:lang w:val="en-AU"/>
              </w:rPr>
              <w:t>)</w:t>
            </w: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196AF" w14:textId="77777777" w:rsidR="00700A3D" w:rsidRDefault="00700A3D">
            <w:pPr>
              <w:spacing w:before="94" w:after="94"/>
              <w:rPr>
                <w:rFonts w:cs="Arial"/>
                <w:sz w:val="18"/>
                <w:szCs w:val="18"/>
                <w:lang w:val="en-AU"/>
              </w:rPr>
            </w:pPr>
            <w:r>
              <w:rPr>
                <w:rFonts w:cs="Arial"/>
                <w:sz w:val="18"/>
                <w:szCs w:val="18"/>
                <w:lang w:val="en-AU"/>
              </w:rPr>
              <w:t>High risk, processed, direct cook-serve</w:t>
            </w:r>
          </w:p>
        </w:tc>
        <w:tc>
          <w:tcPr>
            <w:tcW w:w="991" w:type="pct"/>
            <w:tcBorders>
              <w:top w:val="single" w:sz="4" w:space="0" w:color="auto"/>
              <w:left w:val="single" w:sz="4" w:space="0" w:color="auto"/>
              <w:bottom w:val="single" w:sz="4" w:space="0" w:color="auto"/>
              <w:right w:val="single" w:sz="4" w:space="0" w:color="auto"/>
            </w:tcBorders>
            <w:hideMark/>
          </w:tcPr>
          <w:p w14:paraId="297EB109" w14:textId="47984944" w:rsidR="00700A3D" w:rsidRDefault="00C66597" w:rsidP="00C66597">
            <w:pPr>
              <w:spacing w:before="94" w:after="94"/>
              <w:rPr>
                <w:rFonts w:cs="Arial"/>
                <w:sz w:val="18"/>
                <w:szCs w:val="18"/>
                <w:lang w:val="en-AU"/>
              </w:rPr>
            </w:pPr>
            <w:r>
              <w:rPr>
                <w:rFonts w:cs="Arial"/>
                <w:sz w:val="18"/>
                <w:szCs w:val="18"/>
                <w:lang w:val="en-AU"/>
              </w:rPr>
              <w:t xml:space="preserve">No ambient </w:t>
            </w:r>
            <w:r w:rsidR="00700A3D">
              <w:rPr>
                <w:rFonts w:cs="Arial"/>
                <w:sz w:val="18"/>
                <w:szCs w:val="18"/>
                <w:lang w:val="en-AU"/>
              </w:rPr>
              <w:t>holding</w:t>
            </w: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A6AAD" w14:textId="36B15C5D" w:rsidR="00700A3D" w:rsidRDefault="00C32887" w:rsidP="0092316C">
            <w:pPr>
              <w:spacing w:before="94" w:after="94"/>
              <w:rPr>
                <w:rFonts w:cs="Arial"/>
                <w:sz w:val="18"/>
                <w:szCs w:val="18"/>
                <w:lang w:val="en-AU"/>
              </w:rPr>
            </w:pPr>
            <w:r w:rsidRPr="00C32887">
              <w:rPr>
                <w:rFonts w:cs="Arial"/>
                <w:sz w:val="18"/>
                <w:szCs w:val="18"/>
                <w:lang w:val="en-AU"/>
              </w:rPr>
              <w:t>No time for pathogen growth</w:t>
            </w:r>
          </w:p>
        </w:tc>
      </w:tr>
      <w:tr w:rsidR="00700A3D" w14:paraId="361D9ECE"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18221" w14:textId="77777777" w:rsidR="00700A3D" w:rsidRDefault="00700A3D">
            <w:pPr>
              <w:spacing w:before="94" w:after="94"/>
              <w:rPr>
                <w:rFonts w:cs="Arial"/>
                <w:sz w:val="18"/>
                <w:szCs w:val="18"/>
                <w:lang w:val="en-AU"/>
              </w:rPr>
            </w:pPr>
            <w:r>
              <w:rPr>
                <w:rFonts w:cs="Arial"/>
                <w:sz w:val="18"/>
                <w:szCs w:val="18"/>
                <w:lang w:val="en-AU"/>
              </w:rPr>
              <w:t>Retailer of: RTE bakery products containing PHF (not made on site)</w:t>
            </w: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A0228" w14:textId="77777777" w:rsidR="00700A3D" w:rsidRDefault="00700A3D">
            <w:pPr>
              <w:spacing w:before="94" w:after="94"/>
              <w:rPr>
                <w:rFonts w:cs="Arial"/>
                <w:sz w:val="18"/>
                <w:szCs w:val="18"/>
                <w:lang w:val="en-AU"/>
              </w:rPr>
            </w:pPr>
            <w:r>
              <w:rPr>
                <w:rFonts w:cs="Arial"/>
                <w:sz w:val="18"/>
                <w:szCs w:val="18"/>
                <w:lang w:val="en-AU"/>
              </w:rPr>
              <w:t xml:space="preserve">High risk food, RTE food, consumed cold or hot, packaged product </w:t>
            </w:r>
          </w:p>
        </w:tc>
        <w:tc>
          <w:tcPr>
            <w:tcW w:w="991" w:type="pct"/>
            <w:tcBorders>
              <w:top w:val="single" w:sz="4" w:space="0" w:color="auto"/>
              <w:left w:val="single" w:sz="4" w:space="0" w:color="auto"/>
              <w:bottom w:val="single" w:sz="4" w:space="0" w:color="auto"/>
              <w:right w:val="single" w:sz="4" w:space="0" w:color="auto"/>
            </w:tcBorders>
            <w:hideMark/>
          </w:tcPr>
          <w:p w14:paraId="59918E06" w14:textId="77777777" w:rsidR="00700A3D" w:rsidRDefault="00700A3D">
            <w:pPr>
              <w:spacing w:before="94" w:after="94"/>
              <w:rPr>
                <w:rFonts w:cs="Arial"/>
                <w:sz w:val="18"/>
                <w:szCs w:val="18"/>
                <w:lang w:val="en-AU"/>
              </w:rPr>
            </w:pPr>
            <w:r>
              <w:rPr>
                <w:rFonts w:cs="Arial"/>
                <w:sz w:val="18"/>
                <w:szCs w:val="18"/>
                <w:lang w:val="en-AU"/>
              </w:rPr>
              <w:t>Refrigerated or hot storage</w:t>
            </w: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25FAF" w14:textId="77777777" w:rsidR="00700A3D" w:rsidRDefault="00700A3D">
            <w:pPr>
              <w:spacing w:before="94" w:after="94"/>
              <w:rPr>
                <w:rFonts w:cs="Arial"/>
                <w:sz w:val="18"/>
                <w:szCs w:val="18"/>
                <w:lang w:val="en-AU"/>
              </w:rPr>
            </w:pPr>
            <w:r>
              <w:rPr>
                <w:rFonts w:cs="Arial"/>
                <w:sz w:val="18"/>
                <w:szCs w:val="18"/>
                <w:lang w:val="en-AU"/>
              </w:rPr>
              <w:t>Handle final product</w:t>
            </w:r>
          </w:p>
        </w:tc>
      </w:tr>
      <w:tr w:rsidR="00700A3D" w14:paraId="03FF52AA"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223B2" w14:textId="77777777" w:rsidR="00700A3D" w:rsidRDefault="00700A3D">
            <w:pPr>
              <w:spacing w:before="94" w:after="94"/>
              <w:rPr>
                <w:rFonts w:cs="Arial"/>
                <w:sz w:val="18"/>
                <w:szCs w:val="18"/>
                <w:lang w:val="en-AU"/>
              </w:rPr>
            </w:pPr>
            <w:r>
              <w:rPr>
                <w:rFonts w:cs="Arial"/>
                <w:sz w:val="18"/>
                <w:szCs w:val="18"/>
                <w:lang w:val="en-AU"/>
              </w:rPr>
              <w:t>Retailer of: RTE perishable,  packaged food (e.g. sandwiches, pies, pre-cut fruit)</w:t>
            </w: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03BDB" w14:textId="77777777" w:rsidR="00700A3D" w:rsidRDefault="00700A3D">
            <w:pPr>
              <w:spacing w:before="94" w:after="94"/>
              <w:rPr>
                <w:rFonts w:cs="Arial"/>
                <w:sz w:val="18"/>
                <w:szCs w:val="18"/>
                <w:lang w:val="en-AU"/>
              </w:rPr>
            </w:pPr>
            <w:r>
              <w:rPr>
                <w:rFonts w:cs="Arial"/>
                <w:sz w:val="18"/>
                <w:szCs w:val="18"/>
                <w:lang w:val="en-AU"/>
              </w:rPr>
              <w:t xml:space="preserve">High risk, RTE food, consumed cold or hot, as a packaged product </w:t>
            </w:r>
          </w:p>
        </w:tc>
        <w:tc>
          <w:tcPr>
            <w:tcW w:w="991" w:type="pct"/>
            <w:tcBorders>
              <w:top w:val="single" w:sz="4" w:space="0" w:color="auto"/>
              <w:left w:val="single" w:sz="4" w:space="0" w:color="auto"/>
              <w:bottom w:val="single" w:sz="4" w:space="0" w:color="auto"/>
              <w:right w:val="single" w:sz="4" w:space="0" w:color="auto"/>
            </w:tcBorders>
            <w:hideMark/>
          </w:tcPr>
          <w:p w14:paraId="65051261" w14:textId="77777777" w:rsidR="00700A3D" w:rsidRDefault="00700A3D">
            <w:pPr>
              <w:spacing w:before="94" w:after="94"/>
              <w:rPr>
                <w:rFonts w:cs="Arial"/>
                <w:sz w:val="18"/>
                <w:szCs w:val="18"/>
                <w:lang w:val="en-AU"/>
              </w:rPr>
            </w:pPr>
            <w:r>
              <w:rPr>
                <w:rFonts w:cs="Arial"/>
                <w:sz w:val="18"/>
                <w:szCs w:val="18"/>
                <w:lang w:val="en-AU"/>
              </w:rPr>
              <w:t>Refrigerated or hot storage</w:t>
            </w: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EFA91" w14:textId="77777777" w:rsidR="00700A3D" w:rsidRDefault="00700A3D">
            <w:pPr>
              <w:spacing w:before="94" w:after="94"/>
              <w:rPr>
                <w:rFonts w:cs="Arial"/>
                <w:sz w:val="18"/>
                <w:szCs w:val="18"/>
                <w:lang w:val="en-AU"/>
              </w:rPr>
            </w:pPr>
            <w:r>
              <w:rPr>
                <w:rFonts w:cs="Arial"/>
                <w:sz w:val="18"/>
                <w:szCs w:val="18"/>
                <w:lang w:val="en-AU"/>
              </w:rPr>
              <w:t>Handle pre-packaged final product</w:t>
            </w:r>
          </w:p>
        </w:tc>
      </w:tr>
      <w:tr w:rsidR="00700A3D" w14:paraId="5FF66ADF"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12E9E5" w14:textId="77777777" w:rsidR="00700A3D" w:rsidRDefault="00700A3D">
            <w:pPr>
              <w:spacing w:before="94" w:after="94"/>
              <w:rPr>
                <w:rFonts w:cs="Arial"/>
                <w:sz w:val="18"/>
                <w:szCs w:val="18"/>
                <w:lang w:val="en-AU"/>
              </w:rPr>
            </w:pPr>
            <w:r>
              <w:rPr>
                <w:rFonts w:cs="Arial"/>
                <w:sz w:val="18"/>
                <w:szCs w:val="18"/>
                <w:lang w:val="en-AU"/>
              </w:rPr>
              <w:t>Retailer of: RTE processed seafood products</w:t>
            </w: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3E17C" w14:textId="77777777" w:rsidR="00700A3D" w:rsidRDefault="00700A3D">
            <w:pPr>
              <w:spacing w:before="94" w:after="94"/>
              <w:rPr>
                <w:rFonts w:cs="Arial"/>
                <w:sz w:val="18"/>
                <w:szCs w:val="18"/>
                <w:lang w:val="en-AU"/>
              </w:rPr>
            </w:pPr>
            <w:r>
              <w:rPr>
                <w:rFonts w:cs="Arial"/>
                <w:sz w:val="18"/>
                <w:szCs w:val="18"/>
                <w:lang w:val="en-AU"/>
              </w:rPr>
              <w:t>High risk, not processed on site</w:t>
            </w:r>
          </w:p>
        </w:tc>
        <w:tc>
          <w:tcPr>
            <w:tcW w:w="991" w:type="pct"/>
            <w:tcBorders>
              <w:top w:val="single" w:sz="4" w:space="0" w:color="auto"/>
              <w:left w:val="single" w:sz="4" w:space="0" w:color="auto"/>
              <w:bottom w:val="single" w:sz="4" w:space="0" w:color="auto"/>
              <w:right w:val="single" w:sz="4" w:space="0" w:color="auto"/>
            </w:tcBorders>
            <w:hideMark/>
          </w:tcPr>
          <w:p w14:paraId="370E5672" w14:textId="77777777" w:rsidR="00700A3D" w:rsidRDefault="00700A3D">
            <w:pPr>
              <w:spacing w:before="94" w:after="94"/>
              <w:rPr>
                <w:rFonts w:cs="Arial"/>
                <w:sz w:val="18"/>
                <w:szCs w:val="18"/>
                <w:lang w:val="en-AU"/>
              </w:rPr>
            </w:pPr>
            <w:r>
              <w:rPr>
                <w:rFonts w:cs="Arial"/>
                <w:sz w:val="18"/>
                <w:szCs w:val="18"/>
                <w:lang w:val="en-AU"/>
              </w:rPr>
              <w:t>Refrigerated storage</w:t>
            </w: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72BC1" w14:textId="77777777" w:rsidR="00700A3D" w:rsidRDefault="00700A3D">
            <w:pPr>
              <w:spacing w:before="94" w:after="94"/>
              <w:rPr>
                <w:rFonts w:cs="Arial"/>
                <w:sz w:val="18"/>
                <w:szCs w:val="18"/>
                <w:lang w:val="en-AU"/>
              </w:rPr>
            </w:pPr>
            <w:r>
              <w:rPr>
                <w:rFonts w:cs="Arial"/>
                <w:sz w:val="18"/>
                <w:szCs w:val="18"/>
                <w:lang w:val="en-AU"/>
              </w:rPr>
              <w:t>Handle final product</w:t>
            </w:r>
          </w:p>
        </w:tc>
      </w:tr>
      <w:tr w:rsidR="00700A3D" w14:paraId="10014082" w14:textId="77777777" w:rsidTr="00700A3D">
        <w:tc>
          <w:tcPr>
            <w:tcW w:w="1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ECC19" w14:textId="77777777" w:rsidR="00700A3D" w:rsidRDefault="00700A3D">
            <w:pPr>
              <w:spacing w:before="94" w:after="94"/>
              <w:rPr>
                <w:rFonts w:cs="Arial"/>
                <w:sz w:val="18"/>
                <w:szCs w:val="18"/>
                <w:lang w:val="en-AU"/>
              </w:rPr>
            </w:pPr>
            <w:r>
              <w:rPr>
                <w:rFonts w:cs="Arial"/>
                <w:sz w:val="18"/>
                <w:szCs w:val="18"/>
                <w:lang w:val="en-AU"/>
              </w:rPr>
              <w:t>Retailer of: RTE delicatessen products</w:t>
            </w:r>
          </w:p>
        </w:tc>
        <w:tc>
          <w:tcPr>
            <w:tcW w:w="14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98A1D1" w14:textId="77777777" w:rsidR="00700A3D" w:rsidRDefault="00700A3D">
            <w:pPr>
              <w:spacing w:before="94" w:after="94"/>
              <w:rPr>
                <w:rFonts w:cs="Arial"/>
                <w:sz w:val="18"/>
                <w:szCs w:val="18"/>
                <w:lang w:val="en-AU"/>
              </w:rPr>
            </w:pPr>
            <w:r>
              <w:rPr>
                <w:rFonts w:cs="Arial"/>
                <w:sz w:val="18"/>
                <w:szCs w:val="18"/>
                <w:lang w:val="en-AU"/>
              </w:rPr>
              <w:t xml:space="preserve">High risk, not processed on site, RTE food </w:t>
            </w:r>
          </w:p>
        </w:tc>
        <w:tc>
          <w:tcPr>
            <w:tcW w:w="991" w:type="pct"/>
            <w:tcBorders>
              <w:top w:val="single" w:sz="4" w:space="0" w:color="auto"/>
              <w:left w:val="single" w:sz="4" w:space="0" w:color="auto"/>
              <w:bottom w:val="single" w:sz="4" w:space="0" w:color="auto"/>
              <w:right w:val="single" w:sz="4" w:space="0" w:color="auto"/>
            </w:tcBorders>
            <w:hideMark/>
          </w:tcPr>
          <w:p w14:paraId="5E849462" w14:textId="77777777" w:rsidR="00700A3D" w:rsidRDefault="00700A3D">
            <w:pPr>
              <w:spacing w:before="94" w:after="94"/>
              <w:rPr>
                <w:rFonts w:cs="Arial"/>
                <w:sz w:val="18"/>
                <w:szCs w:val="18"/>
                <w:lang w:val="en-AU"/>
              </w:rPr>
            </w:pPr>
            <w:r>
              <w:rPr>
                <w:rFonts w:cs="Arial"/>
                <w:sz w:val="18"/>
                <w:szCs w:val="18"/>
                <w:lang w:val="en-AU"/>
              </w:rPr>
              <w:t>Refrigerated storage or reheating</w:t>
            </w:r>
          </w:p>
        </w:tc>
        <w:tc>
          <w:tcPr>
            <w:tcW w:w="1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D5C0E" w14:textId="77777777" w:rsidR="00700A3D" w:rsidRDefault="00700A3D">
            <w:pPr>
              <w:keepNext/>
              <w:spacing w:before="94" w:after="94"/>
              <w:rPr>
                <w:rFonts w:cs="Arial"/>
                <w:sz w:val="18"/>
                <w:szCs w:val="18"/>
                <w:lang w:val="en-AU"/>
              </w:rPr>
            </w:pPr>
            <w:r>
              <w:rPr>
                <w:rFonts w:cs="Arial"/>
                <w:sz w:val="18"/>
                <w:szCs w:val="18"/>
                <w:lang w:val="en-AU"/>
              </w:rPr>
              <w:t>Handle final product</w:t>
            </w:r>
          </w:p>
        </w:tc>
      </w:tr>
    </w:tbl>
    <w:p w14:paraId="1B147047" w14:textId="77777777" w:rsidR="00700A3D" w:rsidRDefault="00700A3D" w:rsidP="00700A3D">
      <w:pPr>
        <w:pStyle w:val="Caption"/>
        <w:spacing w:after="0"/>
        <w:rPr>
          <w:i w:val="0"/>
          <w:color w:val="auto"/>
        </w:rPr>
      </w:pPr>
      <w:r>
        <w:rPr>
          <w:i w:val="0"/>
          <w:color w:val="auto"/>
        </w:rPr>
        <w:t>RTE: ready-to-eat.</w:t>
      </w:r>
    </w:p>
    <w:p w14:paraId="7A241E58" w14:textId="77777777" w:rsidR="00700A3D" w:rsidRDefault="00700A3D" w:rsidP="00700A3D">
      <w:pPr>
        <w:pStyle w:val="Caption"/>
        <w:spacing w:after="0"/>
        <w:rPr>
          <w:i w:val="0"/>
          <w:iCs w:val="0"/>
          <w:color w:val="auto"/>
        </w:rPr>
      </w:pPr>
      <w:r>
        <w:rPr>
          <w:i w:val="0"/>
          <w:iCs w:val="0"/>
          <w:color w:val="auto"/>
        </w:rPr>
        <w:t>PHF: potentially hazardous food.</w:t>
      </w:r>
    </w:p>
    <w:p w14:paraId="56AD0BE8" w14:textId="722650DE" w:rsidR="00700A3D" w:rsidRDefault="00700A3D" w:rsidP="00700A3D">
      <w:pPr>
        <w:pStyle w:val="Caption"/>
        <w:spacing w:after="0"/>
        <w:rPr>
          <w:i w:val="0"/>
          <w:color w:val="auto"/>
        </w:rPr>
      </w:pPr>
      <w:r>
        <w:rPr>
          <w:i w:val="0"/>
          <w:color w:val="auto"/>
        </w:rPr>
        <w:t xml:space="preserve">P1 and P2: Food service and closely related retail businesses classified as Priority 1 (P1) and Priority 2 (P2) are in-scope of this Proposal. These businesses have been classified using the national Risk Profiling Framework, </w:t>
      </w:r>
      <w:r w:rsidR="00F170B6">
        <w:rPr>
          <w:i w:val="0"/>
          <w:color w:val="auto"/>
        </w:rPr>
        <w:t xml:space="preserve">which has been </w:t>
      </w:r>
      <w:r>
        <w:rPr>
          <w:i w:val="0"/>
          <w:color w:val="auto"/>
        </w:rPr>
        <w:t xml:space="preserve">endorsed </w:t>
      </w:r>
      <w:r w:rsidR="00F170B6">
        <w:rPr>
          <w:i w:val="0"/>
          <w:color w:val="auto"/>
        </w:rPr>
        <w:t xml:space="preserve">by Ministers as the </w:t>
      </w:r>
      <w:r>
        <w:rPr>
          <w:i w:val="0"/>
          <w:color w:val="auto"/>
        </w:rPr>
        <w:t xml:space="preserve">national methodology for the risk classification of food businesses. </w:t>
      </w:r>
    </w:p>
    <w:p w14:paraId="6C37B0A9" w14:textId="19A00CB0" w:rsidR="00485910" w:rsidRDefault="00485910" w:rsidP="00485910"/>
    <w:p w14:paraId="1EFF63B0" w14:textId="26BDE2BF" w:rsidR="00485910" w:rsidRDefault="00485910" w:rsidP="00485910">
      <w:r>
        <w:rPr>
          <w:noProof/>
          <w:lang w:eastAsia="en-GB"/>
        </w:rPr>
        <mc:AlternateContent>
          <mc:Choice Requires="wps">
            <w:drawing>
              <wp:inline distT="0" distB="0" distL="0" distR="0" wp14:anchorId="5AAA6494" wp14:editId="3DCBF551">
                <wp:extent cx="6191250" cy="552450"/>
                <wp:effectExtent l="0" t="0" r="19050" b="19050"/>
                <wp:docPr id="5" name="Text Box 5"/>
                <wp:cNvGraphicFramePr/>
                <a:graphic xmlns:a="http://schemas.openxmlformats.org/drawingml/2006/main">
                  <a:graphicData uri="http://schemas.microsoft.com/office/word/2010/wordprocessingShape">
                    <wps:wsp>
                      <wps:cNvSpPr txBox="1"/>
                      <wps:spPr>
                        <a:xfrm>
                          <a:off x="0" y="0"/>
                          <a:ext cx="6191250" cy="552450"/>
                        </a:xfrm>
                        <a:prstGeom prst="rect">
                          <a:avLst/>
                        </a:prstGeom>
                        <a:solidFill>
                          <a:schemeClr val="bg1">
                            <a:lumMod val="95000"/>
                          </a:schemeClr>
                        </a:solidFill>
                        <a:ln w="6350">
                          <a:solidFill>
                            <a:prstClr val="black"/>
                          </a:solidFill>
                        </a:ln>
                      </wps:spPr>
                      <wps:txbx>
                        <w:txbxContent>
                          <w:p w14:paraId="5C1411CE" w14:textId="2E4D085E" w:rsidR="00C32887" w:rsidRPr="00485910" w:rsidRDefault="00C32887">
                            <w:pPr>
                              <w:rPr>
                                <w:b/>
                                <w:sz w:val="20"/>
                              </w:rPr>
                            </w:pPr>
                            <w:r w:rsidRPr="00485910">
                              <w:rPr>
                                <w:b/>
                                <w:sz w:val="20"/>
                              </w:rPr>
                              <w:t xml:space="preserve">FSANZ welcomes </w:t>
                            </w:r>
                            <w:r>
                              <w:rPr>
                                <w:b/>
                                <w:sz w:val="20"/>
                              </w:rPr>
                              <w:t xml:space="preserve">suggestions and feedback on what the key </w:t>
                            </w:r>
                            <w:r w:rsidRPr="00485910">
                              <w:rPr>
                                <w:b/>
                                <w:sz w:val="20"/>
                              </w:rPr>
                              <w:t xml:space="preserve">food handling activities and characteristics </w:t>
                            </w:r>
                            <w:r>
                              <w:rPr>
                                <w:b/>
                                <w:sz w:val="20"/>
                              </w:rPr>
                              <w:t>are for these</w:t>
                            </w:r>
                            <w:r w:rsidRPr="00485910">
                              <w:rPr>
                                <w:b/>
                                <w:sz w:val="20"/>
                              </w:rPr>
                              <w:t xml:space="preserve"> in-scope businesses in section 2.1 and Table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AA6494" id="_x0000_t202" coordsize="21600,21600" o:spt="202" path="m,l,21600r21600,l21600,xe">
                <v:stroke joinstyle="miter"/>
                <v:path gradientshapeok="t" o:connecttype="rect"/>
              </v:shapetype>
              <v:shape id="Text Box 5" o:spid="_x0000_s1026" type="#_x0000_t202" style="width:48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OFWgIAAMUEAAAOAAAAZHJzL2Uyb0RvYy54bWysVMFu2zAMvQ/YPwi6r46zuFuDOkXWosOA&#10;ri3QDj0rspwYk0VNUmJ3X98n2WmzdqdhF5kiqUfykfTpWd9qtlPON2RKnh9NOFNGUtWYdcl/3F9+&#10;+MyZD8JUQpNRJX9Unp8t3r877excTWlDulKOAcT4eWdLvgnBzrPMy41qhT8iqwyMNblWBFzdOquc&#10;6IDe6mw6mRxnHbnKOpLKe2gvBiNfJPy6VjLc1LVXgemSI7eQTpfOVTyzxamYr52wm0aOaYh/yKIV&#10;jUHQZ6gLEQTbuuYNVNtIR57qcCSpzaiuG6lSDagmn7yq5m4jrEq1gBxvn2ny/w9WXu9uHWuqkhec&#10;GdGiRfeqD+wL9ayI7HTWz+F0Z+EWeqjR5b3eQxmL7mvXxi/KYbCD58dnbiOYhPI4P8mnBUwStqKY&#10;ziADPnt5bZ0PXxW1LAold+hdolTsrnwYXPcuMZgn3VSXjdbpEudFnWvHdgKdXq3z9FRv2+9UDbqT&#10;YjLZh0zjFd1TAn8gacM6ZPsR6b2JEsO/xNBC/hxLOEBAQdoANvI28BOl0K/6kcwVVY/g0tEwi97K&#10;ywa4V8KHW+EwfOAICxVucNSakAyNEmcbcr//po/+mAlYOeswzCX3v7bCKc70N4NpOclnszj96TIr&#10;Pk1xcYeW1aHFbNtzAos5VtfKJEb/oPdi7ah9wN4tY1SYhJGIXfKwF8/DsGLYW6mWy+SEebciXJk7&#10;KyN0JDfyed8/CGfHngdMyzXtx17MX7V+8I0vDS23geomzUUkeGB15B27kho77nVcxsN78nr5+yye&#10;AAAA//8DAFBLAwQUAAYACAAAACEA6UUePdsAAAAEAQAADwAAAGRycy9kb3ducmV2LnhtbEyPvU7D&#10;QBCEeyTe4bRIdOTMX2KMzxEgpYFQYFyk3PgW2+Dbs3yXxHl7FhpoRhrNaubbfDm5Xu1pDJ1nA5ez&#10;BBRx7W3HjYHqfXWRggoR2WLvmQwcKcCyOD3JMbP+wG+0L2OjpIRDhgbaGIdM61C35DDM/EAs2Ycf&#10;HUaxY6PtiAcpd72+SpK5dtixLLQ40FNL9Ve5cwZuysfnVX18mdvqNb1O3XpTfU4bY87Ppod7UJGm&#10;+HcMP/iCDoUwbf2ObVC9AXkk/qpkd4tbsVsD6SIBXeT6P3zxDQAA//8DAFBLAQItABQABgAIAAAA&#10;IQC2gziS/gAAAOEBAAATAAAAAAAAAAAAAAAAAAAAAABbQ29udGVudF9UeXBlc10ueG1sUEsBAi0A&#10;FAAGAAgAAAAhADj9If/WAAAAlAEAAAsAAAAAAAAAAAAAAAAALwEAAF9yZWxzLy5yZWxzUEsBAi0A&#10;FAAGAAgAAAAhADwiY4VaAgAAxQQAAA4AAAAAAAAAAAAAAAAALgIAAGRycy9lMm9Eb2MueG1sUEsB&#10;Ai0AFAAGAAgAAAAhAOlFHj3bAAAABAEAAA8AAAAAAAAAAAAAAAAAtAQAAGRycy9kb3ducmV2Lnht&#10;bFBLBQYAAAAABAAEAPMAAAC8BQAAAAA=&#10;" fillcolor="#f2f2f2 [3052]" strokeweight=".5pt">
                <v:textbox>
                  <w:txbxContent>
                    <w:p w14:paraId="5C1411CE" w14:textId="2E4D085E" w:rsidR="00C32887" w:rsidRPr="00485910" w:rsidRDefault="00C32887">
                      <w:pPr>
                        <w:rPr>
                          <w:b/>
                          <w:sz w:val="20"/>
                        </w:rPr>
                      </w:pPr>
                      <w:r w:rsidRPr="00485910">
                        <w:rPr>
                          <w:b/>
                          <w:sz w:val="20"/>
                        </w:rPr>
                        <w:t xml:space="preserve">FSANZ welcomes </w:t>
                      </w:r>
                      <w:r>
                        <w:rPr>
                          <w:b/>
                          <w:sz w:val="20"/>
                        </w:rPr>
                        <w:t xml:space="preserve">suggestions and feedback on what the key </w:t>
                      </w:r>
                      <w:r w:rsidRPr="00485910">
                        <w:rPr>
                          <w:b/>
                          <w:sz w:val="20"/>
                        </w:rPr>
                        <w:t xml:space="preserve">food handling activities and characteristics </w:t>
                      </w:r>
                      <w:r>
                        <w:rPr>
                          <w:b/>
                          <w:sz w:val="20"/>
                        </w:rPr>
                        <w:t>are for these</w:t>
                      </w:r>
                      <w:r w:rsidRPr="00485910">
                        <w:rPr>
                          <w:b/>
                          <w:sz w:val="20"/>
                        </w:rPr>
                        <w:t xml:space="preserve"> in-scope businesses in section 2.1 and Table 1. </w:t>
                      </w:r>
                    </w:p>
                  </w:txbxContent>
                </v:textbox>
                <w10:anchorlock/>
              </v:shape>
            </w:pict>
          </mc:Fallback>
        </mc:AlternateContent>
      </w:r>
    </w:p>
    <w:p w14:paraId="73AE0468" w14:textId="77777777" w:rsidR="003D1BD9" w:rsidRDefault="003D1BD9">
      <w:pPr>
        <w:spacing w:before="0" w:after="0"/>
        <w:rPr>
          <w:rFonts w:eastAsiaTheme="majorEastAsia" w:cs="Arial"/>
          <w:b/>
          <w:bCs/>
          <w:sz w:val="28"/>
        </w:rPr>
      </w:pPr>
      <w:bookmarkStart w:id="7" w:name="_Toc33094508"/>
      <w:r>
        <w:br w:type="page"/>
      </w:r>
    </w:p>
    <w:p w14:paraId="47AE9986" w14:textId="04C42437" w:rsidR="00700A3D" w:rsidRDefault="00700A3D" w:rsidP="00700A3D">
      <w:pPr>
        <w:pStyle w:val="Heading2"/>
      </w:pPr>
      <w:r>
        <w:lastRenderedPageBreak/>
        <w:t>2.2</w:t>
      </w:r>
      <w:r>
        <w:tab/>
        <w:t>Challenging work environments</w:t>
      </w:r>
      <w:bookmarkEnd w:id="7"/>
    </w:p>
    <w:p w14:paraId="10448625" w14:textId="77777777" w:rsidR="00700A3D" w:rsidRDefault="00700A3D" w:rsidP="0011465E">
      <w:r>
        <w:t>By their nature, food service businesses and related retailers are challenging environments for adequately controlling food safety risks. For instance, food may be handled in a relatively uncontrolled setting (with minimal supervision) and food handlers may be doing multiple tasks, often in a fast-paced setting. Where PHF is involved, these conditions can lead to poorly managed risks and potential foodborne illness incidents.</w:t>
      </w:r>
    </w:p>
    <w:p w14:paraId="2FDAF277" w14:textId="77777777" w:rsidR="00700A3D" w:rsidRDefault="00700A3D" w:rsidP="0011465E">
      <w:r>
        <w:rPr>
          <w:lang w:val="en"/>
        </w:rPr>
        <w:t>Food businesses have reported challenges dealing with competing and often complex priorities including staffing, managing suppliers, increasing costs, remaining competitive, providing high quality products at affordable prices and working long hours (</w:t>
      </w:r>
      <w:r>
        <w:t xml:space="preserve">Davies et al. </w:t>
      </w:r>
      <w:r>
        <w:rPr>
          <w:lang w:val="en"/>
        </w:rPr>
        <w:t xml:space="preserve">2014). </w:t>
      </w:r>
      <w:r>
        <w:t xml:space="preserve">Many small businesses (including many franchisees) in these sectors have proprietors ‘wearing many hats’. </w:t>
      </w:r>
    </w:p>
    <w:p w14:paraId="7D947B78" w14:textId="55FB12D2" w:rsidR="00700A3D" w:rsidRDefault="00700A3D" w:rsidP="0011465E">
      <w:r>
        <w:t xml:space="preserve">Compounding these issues, food service sectors are characterised by high staff turnover and relatively high proportions of workers who are </w:t>
      </w:r>
      <w:r w:rsidR="003414A7">
        <w:t>inexperienced</w:t>
      </w:r>
      <w:r>
        <w:t xml:space="preserve">, casual staff and/or migrants from cultural and language diverse backgrounds. </w:t>
      </w:r>
    </w:p>
    <w:p w14:paraId="4451AC4B" w14:textId="77777777" w:rsidR="00700A3D" w:rsidRDefault="00700A3D" w:rsidP="0011465E">
      <w:r>
        <w:t>Many staff employed in these sectors do not have a thorough understanding of the processes required to safely handle food (</w:t>
      </w:r>
      <w:r>
        <w:rPr>
          <w:lang w:val="en-AU"/>
        </w:rPr>
        <w:t>Byrd-Bredbenner et al. 2007)</w:t>
      </w:r>
      <w:r>
        <w:t xml:space="preserve"> or why such processes are necessary. Reasons for this include:</w:t>
      </w:r>
    </w:p>
    <w:p w14:paraId="0C4BA346" w14:textId="577D1518" w:rsidR="00700A3D" w:rsidRPr="0011465E" w:rsidRDefault="003414A7" w:rsidP="0062121C">
      <w:pPr>
        <w:pStyle w:val="ListParagraph"/>
        <w:numPr>
          <w:ilvl w:val="0"/>
          <w:numId w:val="18"/>
        </w:numPr>
        <w:rPr>
          <w:lang w:val="en"/>
        </w:rPr>
      </w:pPr>
      <w:r>
        <w:rPr>
          <w:lang w:val="en"/>
        </w:rPr>
        <w:t>C</w:t>
      </w:r>
      <w:r w:rsidR="00700A3D" w:rsidRPr="0011465E">
        <w:rPr>
          <w:lang w:val="en"/>
        </w:rPr>
        <w:t>asual workers may not have received adequate training or experience.</w:t>
      </w:r>
    </w:p>
    <w:p w14:paraId="4CC368BB" w14:textId="7D63FC06" w:rsidR="00700A3D" w:rsidRPr="0011465E" w:rsidRDefault="00700A3D" w:rsidP="0062121C">
      <w:pPr>
        <w:pStyle w:val="ListParagraph"/>
        <w:numPr>
          <w:ilvl w:val="0"/>
          <w:numId w:val="18"/>
        </w:numPr>
        <w:rPr>
          <w:lang w:val="en"/>
        </w:rPr>
      </w:pPr>
      <w:r w:rsidRPr="0011465E">
        <w:rPr>
          <w:lang w:val="en"/>
        </w:rPr>
        <w:t xml:space="preserve">Healthy workers may not have personally experienced serious foodborne illness. </w:t>
      </w:r>
    </w:p>
    <w:p w14:paraId="7F959F87" w14:textId="77777777" w:rsidR="00700A3D" w:rsidRPr="0011465E" w:rsidRDefault="00700A3D" w:rsidP="0062121C">
      <w:pPr>
        <w:pStyle w:val="ListParagraph"/>
        <w:numPr>
          <w:ilvl w:val="0"/>
          <w:numId w:val="18"/>
        </w:numPr>
        <w:rPr>
          <w:lang w:val="en"/>
        </w:rPr>
      </w:pPr>
      <w:r w:rsidRPr="0011465E">
        <w:rPr>
          <w:lang w:val="en"/>
        </w:rPr>
        <w:t>People with language barriers may have difficulty understanding requirements or instructions.</w:t>
      </w:r>
    </w:p>
    <w:p w14:paraId="2A15F6D4" w14:textId="77777777" w:rsidR="00700A3D" w:rsidRDefault="00700A3D" w:rsidP="0062121C">
      <w:pPr>
        <w:pStyle w:val="ListParagraph"/>
        <w:numPr>
          <w:ilvl w:val="0"/>
          <w:numId w:val="18"/>
        </w:numPr>
      </w:pPr>
      <w:r>
        <w:t xml:space="preserve">Stress, fatigue and limited access to training (Davies et al. </w:t>
      </w:r>
      <w:r w:rsidRPr="0011465E">
        <w:rPr>
          <w:lang w:val="en"/>
        </w:rPr>
        <w:t>2014)</w:t>
      </w:r>
      <w:r>
        <w:t xml:space="preserve">. </w:t>
      </w:r>
    </w:p>
    <w:p w14:paraId="27AAF55D" w14:textId="3E54C421" w:rsidR="00700A3D" w:rsidRDefault="003414A7" w:rsidP="0062121C">
      <w:pPr>
        <w:pStyle w:val="ListParagraph"/>
        <w:numPr>
          <w:ilvl w:val="0"/>
          <w:numId w:val="18"/>
        </w:numPr>
      </w:pPr>
      <w:r>
        <w:t>Business operating hours in this sector mean that f</w:t>
      </w:r>
      <w:r w:rsidR="00700A3D">
        <w:t xml:space="preserve">ood handlers work during evenings and on weekends. As authorised officers generally do not inspect businesses at these times, inappropriate food handling may not be detected and these staff may miss out on the learning opportunity that the inspections provide. </w:t>
      </w:r>
    </w:p>
    <w:p w14:paraId="6493BC29" w14:textId="77777777" w:rsidR="00700A3D" w:rsidRDefault="00700A3D" w:rsidP="0062121C">
      <w:pPr>
        <w:pStyle w:val="ListParagraph"/>
        <w:numPr>
          <w:ilvl w:val="0"/>
          <w:numId w:val="18"/>
        </w:numPr>
      </w:pPr>
      <w:r>
        <w:t xml:space="preserve">Time pressure and resource barriers can also hinder food handlers from effectively carrying out appropriate food safety actions (Todd 2007). </w:t>
      </w:r>
    </w:p>
    <w:p w14:paraId="12A666C3" w14:textId="77777777" w:rsidR="00700A3D" w:rsidRDefault="00700A3D" w:rsidP="0011465E">
      <w:r>
        <w:t>Given these challenges, even where a business has appropriate procedures in place, there is no guarantee food handling staff will follow the procedures without adequate supervision.</w:t>
      </w:r>
    </w:p>
    <w:p w14:paraId="14C0EF9B" w14:textId="77777777" w:rsidR="00700A3D" w:rsidRDefault="00700A3D" w:rsidP="00700A3D">
      <w:pPr>
        <w:pStyle w:val="Heading2"/>
      </w:pPr>
      <w:bookmarkStart w:id="8" w:name="_Toc33094509"/>
      <w:r>
        <w:t>2.3</w:t>
      </w:r>
      <w:r>
        <w:tab/>
        <w:t xml:space="preserve"> Number of businesses and food handlers</w:t>
      </w:r>
      <w:bookmarkEnd w:id="8"/>
      <w:r>
        <w:t xml:space="preserve"> </w:t>
      </w:r>
    </w:p>
    <w:p w14:paraId="48B4B997" w14:textId="422A5799" w:rsidR="00700A3D" w:rsidRDefault="001D14EC" w:rsidP="0062121C">
      <w:r>
        <w:t xml:space="preserve">In 2002 there was </w:t>
      </w:r>
      <w:r w:rsidR="00700A3D">
        <w:t>an estimated 97,978 food service and retail businesses in Australia, according to a study by the Allen Consulting Group (Allen Consulting Group 2002). The same study found that on average, food service businesses employ</w:t>
      </w:r>
      <w:r w:rsidR="00393D79">
        <w:t>ed</w:t>
      </w:r>
      <w:r w:rsidR="00700A3D">
        <w:t xml:space="preserve"> eight food handler staff each, while retail businesses each employ</w:t>
      </w:r>
      <w:r w:rsidR="00393D79">
        <w:t>ed</w:t>
      </w:r>
      <w:r w:rsidR="00700A3D">
        <w:t xml:space="preserve"> four</w:t>
      </w:r>
      <w:r w:rsidR="00700A3D" w:rsidRPr="006F7710">
        <w:t>. This indicates</w:t>
      </w:r>
      <w:r w:rsidR="002778BF" w:rsidRPr="006F7710">
        <w:t xml:space="preserve"> that</w:t>
      </w:r>
      <w:r w:rsidR="00AC0FDA" w:rsidRPr="006F7710">
        <w:t>,</w:t>
      </w:r>
      <w:r w:rsidR="002778BF" w:rsidRPr="006F7710">
        <w:t xml:space="preserve"> at that time</w:t>
      </w:r>
      <w:r w:rsidR="00AC0FDA" w:rsidRPr="006F7710">
        <w:t>,</w:t>
      </w:r>
      <w:r w:rsidR="00700A3D" w:rsidRPr="006F7710">
        <w:t xml:space="preserve"> around 700,000 (698,916) staff were employed in businesses </w:t>
      </w:r>
      <w:r w:rsidR="002778BF" w:rsidRPr="006F7710">
        <w:t>with</w:t>
      </w:r>
      <w:r w:rsidR="003D3786" w:rsidRPr="006F7710">
        <w:t>in the scope of this p</w:t>
      </w:r>
      <w:r w:rsidR="00700A3D" w:rsidRPr="006F7710">
        <w:t xml:space="preserve">roposal. </w:t>
      </w:r>
      <w:r w:rsidR="00AC0FDA" w:rsidRPr="006F7710">
        <w:t xml:space="preserve">It is likely that this number has increased today. </w:t>
      </w:r>
    </w:p>
    <w:p w14:paraId="1E1E1A4F" w14:textId="555BEDCD" w:rsidR="0062121C" w:rsidRDefault="0062121C" w:rsidP="00700A3D">
      <w:pPr>
        <w:rPr>
          <w:b/>
          <w:i/>
        </w:rPr>
      </w:pPr>
    </w:p>
    <w:p w14:paraId="043A9ACB" w14:textId="77777777" w:rsidR="003D1BD9" w:rsidRDefault="003D1BD9">
      <w:pPr>
        <w:spacing w:before="0" w:after="0"/>
        <w:rPr>
          <w:b/>
          <w:i/>
        </w:rPr>
      </w:pPr>
      <w:r>
        <w:rPr>
          <w:b/>
          <w:i/>
        </w:rPr>
        <w:br w:type="page"/>
      </w:r>
    </w:p>
    <w:p w14:paraId="5840BD1B" w14:textId="37D512AF" w:rsidR="00700A3D" w:rsidRDefault="00700A3D" w:rsidP="00700A3D">
      <w:pPr>
        <w:rPr>
          <w:b/>
          <w:i/>
        </w:rPr>
      </w:pPr>
      <w:r>
        <w:rPr>
          <w:b/>
          <w:i/>
        </w:rPr>
        <w:lastRenderedPageBreak/>
        <w:t xml:space="preserve">Table </w:t>
      </w:r>
      <w:r>
        <w:rPr>
          <w:b/>
          <w:i/>
        </w:rPr>
        <w:fldChar w:fldCharType="begin"/>
      </w:r>
      <w:r>
        <w:rPr>
          <w:b/>
          <w:i/>
        </w:rPr>
        <w:instrText xml:space="preserve"> SEQ Table \* ARABIC </w:instrText>
      </w:r>
      <w:r>
        <w:rPr>
          <w:b/>
          <w:i/>
        </w:rPr>
        <w:fldChar w:fldCharType="separate"/>
      </w:r>
      <w:r>
        <w:rPr>
          <w:b/>
          <w:i/>
          <w:noProof/>
        </w:rPr>
        <w:t>2</w:t>
      </w:r>
      <w:r>
        <w:rPr>
          <w:b/>
          <w:i/>
        </w:rPr>
        <w:fldChar w:fldCharType="end"/>
      </w:r>
      <w:r w:rsidR="00DD1DAC">
        <w:rPr>
          <w:b/>
          <w:i/>
        </w:rPr>
        <w:t>.</w:t>
      </w:r>
      <w:r>
        <w:rPr>
          <w:b/>
          <w:i/>
        </w:rPr>
        <w:t xml:space="preserve"> Australian food businesses by state and industry category</w:t>
      </w:r>
    </w:p>
    <w:tbl>
      <w:tblPr>
        <w:tblStyle w:val="TableGrid"/>
        <w:tblW w:w="0" w:type="auto"/>
        <w:tblLook w:val="04A0" w:firstRow="1" w:lastRow="0" w:firstColumn="1" w:lastColumn="0" w:noHBand="0" w:noVBand="1"/>
      </w:tblPr>
      <w:tblGrid>
        <w:gridCol w:w="1536"/>
        <w:gridCol w:w="717"/>
        <w:gridCol w:w="875"/>
        <w:gridCol w:w="875"/>
        <w:gridCol w:w="840"/>
        <w:gridCol w:w="840"/>
        <w:gridCol w:w="840"/>
        <w:gridCol w:w="803"/>
        <w:gridCol w:w="840"/>
        <w:gridCol w:w="894"/>
      </w:tblGrid>
      <w:tr w:rsidR="00700A3D" w14:paraId="0793E9DF" w14:textId="77777777" w:rsidTr="00700A3D">
        <w:tc>
          <w:tcPr>
            <w:tcW w:w="153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A39A30" w14:textId="77777777" w:rsidR="00700A3D" w:rsidRDefault="00700A3D">
            <w:pPr>
              <w:pStyle w:val="FSTableColumnRowheading"/>
              <w:spacing w:before="94" w:after="94"/>
              <w:rPr>
                <w:rFonts w:cs="Arial"/>
                <w:color w:val="0070C0"/>
                <w:sz w:val="18"/>
                <w:szCs w:val="18"/>
                <w:lang w:val="en-AU"/>
              </w:rPr>
            </w:pPr>
          </w:p>
        </w:tc>
        <w:tc>
          <w:tcPr>
            <w:tcW w:w="71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D5EF410" w14:textId="77777777" w:rsidR="00700A3D" w:rsidRDefault="00700A3D">
            <w:pPr>
              <w:pStyle w:val="FSTableColumnRowheading"/>
              <w:spacing w:before="94" w:after="94"/>
              <w:rPr>
                <w:rFonts w:cs="Arial"/>
                <w:sz w:val="18"/>
                <w:szCs w:val="18"/>
                <w:lang w:val="en-AU"/>
              </w:rPr>
            </w:pPr>
            <w:r>
              <w:rPr>
                <w:rFonts w:cs="Arial"/>
                <w:sz w:val="18"/>
                <w:szCs w:val="18"/>
                <w:lang w:val="en-AU"/>
              </w:rPr>
              <w:t>NSW</w:t>
            </w:r>
          </w:p>
        </w:tc>
        <w:tc>
          <w:tcPr>
            <w:tcW w:w="87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EC5CE60" w14:textId="77777777" w:rsidR="00700A3D" w:rsidRDefault="00700A3D">
            <w:pPr>
              <w:pStyle w:val="FSTableColumnRowheading"/>
              <w:spacing w:before="94" w:after="94"/>
              <w:rPr>
                <w:rFonts w:cs="Arial"/>
                <w:sz w:val="18"/>
                <w:szCs w:val="18"/>
                <w:lang w:val="en-AU"/>
              </w:rPr>
            </w:pPr>
            <w:r>
              <w:rPr>
                <w:rFonts w:cs="Arial"/>
                <w:sz w:val="18"/>
                <w:szCs w:val="18"/>
                <w:lang w:val="en-AU"/>
              </w:rPr>
              <w:t>Vic</w:t>
            </w:r>
          </w:p>
        </w:tc>
        <w:tc>
          <w:tcPr>
            <w:tcW w:w="87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58AF411" w14:textId="77777777" w:rsidR="00700A3D" w:rsidRDefault="00700A3D">
            <w:pPr>
              <w:pStyle w:val="FSTableColumnRowheading"/>
              <w:spacing w:before="94" w:after="94"/>
              <w:rPr>
                <w:rFonts w:cs="Arial"/>
                <w:sz w:val="18"/>
                <w:szCs w:val="18"/>
                <w:lang w:val="en-AU"/>
              </w:rPr>
            </w:pPr>
            <w:r>
              <w:rPr>
                <w:rFonts w:cs="Arial"/>
                <w:sz w:val="18"/>
                <w:szCs w:val="18"/>
                <w:lang w:val="en-AU"/>
              </w:rPr>
              <w:t>Qld</w:t>
            </w:r>
          </w:p>
        </w:tc>
        <w:tc>
          <w:tcPr>
            <w:tcW w:w="84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EC21D0C" w14:textId="77777777" w:rsidR="00700A3D" w:rsidRDefault="00700A3D">
            <w:pPr>
              <w:pStyle w:val="FSTableColumnRowheading"/>
              <w:spacing w:before="94" w:after="94"/>
              <w:rPr>
                <w:rFonts w:cs="Arial"/>
                <w:sz w:val="18"/>
                <w:szCs w:val="18"/>
                <w:lang w:val="en-AU"/>
              </w:rPr>
            </w:pPr>
            <w:r>
              <w:rPr>
                <w:rFonts w:cs="Arial"/>
                <w:sz w:val="18"/>
                <w:szCs w:val="18"/>
                <w:lang w:val="en-AU"/>
              </w:rPr>
              <w:t>WA</w:t>
            </w:r>
          </w:p>
        </w:tc>
        <w:tc>
          <w:tcPr>
            <w:tcW w:w="84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7E12C48" w14:textId="77777777" w:rsidR="00700A3D" w:rsidRDefault="00700A3D">
            <w:pPr>
              <w:pStyle w:val="FSTableColumnRowheading"/>
              <w:spacing w:before="94" w:after="94"/>
              <w:rPr>
                <w:rFonts w:cs="Arial"/>
                <w:sz w:val="18"/>
                <w:szCs w:val="18"/>
                <w:lang w:val="en-AU"/>
              </w:rPr>
            </w:pPr>
            <w:r>
              <w:rPr>
                <w:rFonts w:cs="Arial"/>
                <w:sz w:val="18"/>
                <w:szCs w:val="18"/>
                <w:lang w:val="en-AU"/>
              </w:rPr>
              <w:t>SA</w:t>
            </w:r>
          </w:p>
        </w:tc>
        <w:tc>
          <w:tcPr>
            <w:tcW w:w="84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46C6E3E" w14:textId="77777777" w:rsidR="00700A3D" w:rsidRDefault="00700A3D">
            <w:pPr>
              <w:pStyle w:val="FSTableColumnRowheading"/>
              <w:spacing w:before="94" w:after="94"/>
              <w:rPr>
                <w:rFonts w:cs="Arial"/>
                <w:sz w:val="18"/>
                <w:szCs w:val="18"/>
                <w:lang w:val="en-AU"/>
              </w:rPr>
            </w:pPr>
            <w:r>
              <w:rPr>
                <w:rFonts w:cs="Arial"/>
                <w:sz w:val="18"/>
                <w:szCs w:val="18"/>
                <w:lang w:val="en-AU"/>
              </w:rPr>
              <w:t>ACT</w:t>
            </w:r>
          </w:p>
        </w:tc>
        <w:tc>
          <w:tcPr>
            <w:tcW w:w="80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ECE212F" w14:textId="77777777" w:rsidR="00700A3D" w:rsidRDefault="00700A3D">
            <w:pPr>
              <w:pStyle w:val="FSTableColumnRowheading"/>
              <w:spacing w:before="94" w:after="94"/>
              <w:rPr>
                <w:rFonts w:cs="Arial"/>
                <w:sz w:val="18"/>
                <w:szCs w:val="18"/>
                <w:lang w:val="en-AU"/>
              </w:rPr>
            </w:pPr>
            <w:r>
              <w:rPr>
                <w:rFonts w:cs="Arial"/>
                <w:sz w:val="18"/>
                <w:szCs w:val="18"/>
                <w:lang w:val="en-AU"/>
              </w:rPr>
              <w:t>NT</w:t>
            </w:r>
          </w:p>
        </w:tc>
        <w:tc>
          <w:tcPr>
            <w:tcW w:w="84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4DBC7B0" w14:textId="77777777" w:rsidR="00700A3D" w:rsidRDefault="00700A3D">
            <w:pPr>
              <w:pStyle w:val="FSTableColumnRowheading"/>
              <w:spacing w:before="94" w:after="94"/>
              <w:rPr>
                <w:rFonts w:cs="Arial"/>
                <w:sz w:val="18"/>
                <w:szCs w:val="18"/>
                <w:lang w:val="en-AU"/>
              </w:rPr>
            </w:pPr>
            <w:r>
              <w:rPr>
                <w:rFonts w:cs="Arial"/>
                <w:sz w:val="18"/>
                <w:szCs w:val="18"/>
                <w:lang w:val="en-AU"/>
              </w:rPr>
              <w:t>Tas</w:t>
            </w:r>
          </w:p>
        </w:tc>
        <w:tc>
          <w:tcPr>
            <w:tcW w:w="89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E888CF1" w14:textId="77777777" w:rsidR="00700A3D" w:rsidRDefault="00700A3D">
            <w:pPr>
              <w:pStyle w:val="FSTableColumnRowheading"/>
              <w:spacing w:before="94" w:after="94"/>
              <w:rPr>
                <w:rFonts w:cs="Arial"/>
                <w:sz w:val="18"/>
                <w:szCs w:val="18"/>
                <w:lang w:val="en-AU"/>
              </w:rPr>
            </w:pPr>
            <w:r>
              <w:rPr>
                <w:rFonts w:cs="Arial"/>
                <w:sz w:val="18"/>
                <w:szCs w:val="18"/>
                <w:lang w:val="en-AU"/>
              </w:rPr>
              <w:t>Total</w:t>
            </w:r>
          </w:p>
        </w:tc>
      </w:tr>
      <w:tr w:rsidR="00700A3D" w14:paraId="21B430FE" w14:textId="77777777" w:rsidTr="00700A3D">
        <w:tc>
          <w:tcPr>
            <w:tcW w:w="1536" w:type="dxa"/>
            <w:tcBorders>
              <w:top w:val="single" w:sz="4" w:space="0" w:color="auto"/>
              <w:left w:val="single" w:sz="4" w:space="0" w:color="auto"/>
              <w:bottom w:val="single" w:sz="4" w:space="0" w:color="auto"/>
              <w:right w:val="single" w:sz="4" w:space="0" w:color="auto"/>
            </w:tcBorders>
            <w:vAlign w:val="center"/>
            <w:hideMark/>
          </w:tcPr>
          <w:p w14:paraId="507FCE47" w14:textId="77777777" w:rsidR="00700A3D" w:rsidRDefault="00700A3D">
            <w:pPr>
              <w:pStyle w:val="FSTableColumnRowheading"/>
              <w:spacing w:before="94" w:after="94"/>
              <w:rPr>
                <w:rFonts w:cs="Arial"/>
                <w:sz w:val="18"/>
                <w:szCs w:val="18"/>
                <w:lang w:val="en-AU"/>
              </w:rPr>
            </w:pPr>
            <w:r>
              <w:rPr>
                <w:rFonts w:cs="Arial"/>
                <w:sz w:val="18"/>
                <w:szCs w:val="18"/>
                <w:lang w:val="en-AU"/>
              </w:rPr>
              <w:t>Retail</w:t>
            </w:r>
          </w:p>
        </w:tc>
        <w:tc>
          <w:tcPr>
            <w:tcW w:w="717" w:type="dxa"/>
            <w:tcBorders>
              <w:top w:val="single" w:sz="4" w:space="0" w:color="auto"/>
              <w:left w:val="single" w:sz="4" w:space="0" w:color="auto"/>
              <w:bottom w:val="single" w:sz="4" w:space="0" w:color="auto"/>
              <w:right w:val="single" w:sz="4" w:space="0" w:color="auto"/>
            </w:tcBorders>
            <w:vAlign w:val="center"/>
            <w:hideMark/>
          </w:tcPr>
          <w:p w14:paraId="52195175" w14:textId="77777777" w:rsidR="00700A3D" w:rsidRDefault="00700A3D">
            <w:pPr>
              <w:pStyle w:val="Table1"/>
              <w:spacing w:before="94" w:after="94"/>
              <w:rPr>
                <w:rFonts w:cs="Arial"/>
                <w:b w:val="0"/>
                <w:szCs w:val="18"/>
                <w:lang w:val="en-AU"/>
              </w:rPr>
            </w:pPr>
            <w:r>
              <w:rPr>
                <w:rFonts w:cs="Arial"/>
                <w:b w:val="0"/>
                <w:szCs w:val="18"/>
                <w:lang w:val="en-AU"/>
              </w:rPr>
              <w:t>7175</w:t>
            </w:r>
          </w:p>
        </w:tc>
        <w:tc>
          <w:tcPr>
            <w:tcW w:w="875" w:type="dxa"/>
            <w:tcBorders>
              <w:top w:val="single" w:sz="4" w:space="0" w:color="auto"/>
              <w:left w:val="single" w:sz="4" w:space="0" w:color="auto"/>
              <w:bottom w:val="single" w:sz="4" w:space="0" w:color="auto"/>
              <w:right w:val="single" w:sz="4" w:space="0" w:color="auto"/>
            </w:tcBorders>
            <w:vAlign w:val="center"/>
            <w:hideMark/>
          </w:tcPr>
          <w:p w14:paraId="3056E346" w14:textId="77777777" w:rsidR="00700A3D" w:rsidRDefault="00700A3D">
            <w:pPr>
              <w:pStyle w:val="Table1"/>
              <w:spacing w:before="94" w:after="94"/>
              <w:rPr>
                <w:rFonts w:cs="Arial"/>
                <w:b w:val="0"/>
                <w:szCs w:val="18"/>
                <w:lang w:val="en-AU"/>
              </w:rPr>
            </w:pPr>
            <w:r>
              <w:rPr>
                <w:rFonts w:cs="Arial"/>
                <w:b w:val="0"/>
                <w:szCs w:val="18"/>
                <w:lang w:val="en-AU"/>
              </w:rPr>
              <w:t>5264</w:t>
            </w:r>
          </w:p>
        </w:tc>
        <w:tc>
          <w:tcPr>
            <w:tcW w:w="875" w:type="dxa"/>
            <w:tcBorders>
              <w:top w:val="single" w:sz="4" w:space="0" w:color="auto"/>
              <w:left w:val="single" w:sz="4" w:space="0" w:color="auto"/>
              <w:bottom w:val="single" w:sz="4" w:space="0" w:color="auto"/>
              <w:right w:val="single" w:sz="4" w:space="0" w:color="auto"/>
            </w:tcBorders>
            <w:vAlign w:val="center"/>
            <w:hideMark/>
          </w:tcPr>
          <w:p w14:paraId="1059D23E" w14:textId="77777777" w:rsidR="00700A3D" w:rsidRDefault="00700A3D">
            <w:pPr>
              <w:pStyle w:val="Table1"/>
              <w:spacing w:before="94" w:after="94"/>
              <w:rPr>
                <w:rFonts w:cs="Arial"/>
                <w:b w:val="0"/>
                <w:szCs w:val="18"/>
                <w:lang w:val="en-AU"/>
              </w:rPr>
            </w:pPr>
            <w:r>
              <w:rPr>
                <w:rFonts w:cs="Arial"/>
                <w:b w:val="0"/>
                <w:szCs w:val="18"/>
                <w:lang w:val="en-AU"/>
              </w:rPr>
              <w:t>3927</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E357E2" w14:textId="77777777" w:rsidR="00700A3D" w:rsidRDefault="00700A3D">
            <w:pPr>
              <w:pStyle w:val="Table1"/>
              <w:spacing w:before="94" w:after="94"/>
              <w:rPr>
                <w:rFonts w:cs="Arial"/>
                <w:b w:val="0"/>
                <w:szCs w:val="18"/>
                <w:lang w:val="en-AU"/>
              </w:rPr>
            </w:pPr>
            <w:r>
              <w:rPr>
                <w:rFonts w:cs="Arial"/>
                <w:b w:val="0"/>
                <w:szCs w:val="18"/>
                <w:lang w:val="en-AU"/>
              </w:rPr>
              <w:t>2080</w:t>
            </w:r>
          </w:p>
        </w:tc>
        <w:tc>
          <w:tcPr>
            <w:tcW w:w="840" w:type="dxa"/>
            <w:tcBorders>
              <w:top w:val="single" w:sz="4" w:space="0" w:color="auto"/>
              <w:left w:val="single" w:sz="4" w:space="0" w:color="auto"/>
              <w:bottom w:val="single" w:sz="4" w:space="0" w:color="auto"/>
              <w:right w:val="single" w:sz="4" w:space="0" w:color="auto"/>
            </w:tcBorders>
            <w:vAlign w:val="center"/>
            <w:hideMark/>
          </w:tcPr>
          <w:p w14:paraId="0CAF5E42" w14:textId="77777777" w:rsidR="00700A3D" w:rsidRDefault="00700A3D">
            <w:pPr>
              <w:pStyle w:val="Table1"/>
              <w:spacing w:before="94" w:after="94"/>
              <w:rPr>
                <w:rFonts w:cs="Arial"/>
                <w:b w:val="0"/>
                <w:szCs w:val="18"/>
                <w:lang w:val="en-AU"/>
              </w:rPr>
            </w:pPr>
            <w:r>
              <w:rPr>
                <w:rFonts w:cs="Arial"/>
                <w:b w:val="0"/>
                <w:szCs w:val="18"/>
                <w:lang w:val="en-AU"/>
              </w:rPr>
              <w:t>1677</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BFC5B2" w14:textId="77777777" w:rsidR="00700A3D" w:rsidRDefault="00700A3D">
            <w:pPr>
              <w:pStyle w:val="Table1"/>
              <w:spacing w:before="94" w:after="94"/>
              <w:rPr>
                <w:rFonts w:cs="Arial"/>
                <w:b w:val="0"/>
                <w:szCs w:val="18"/>
                <w:lang w:val="en-AU"/>
              </w:rPr>
            </w:pPr>
            <w:r>
              <w:rPr>
                <w:rFonts w:cs="Arial"/>
                <w:b w:val="0"/>
                <w:szCs w:val="18"/>
                <w:lang w:val="en-AU"/>
              </w:rPr>
              <w:t>340</w:t>
            </w:r>
          </w:p>
        </w:tc>
        <w:tc>
          <w:tcPr>
            <w:tcW w:w="803" w:type="dxa"/>
            <w:tcBorders>
              <w:top w:val="single" w:sz="4" w:space="0" w:color="auto"/>
              <w:left w:val="single" w:sz="4" w:space="0" w:color="auto"/>
              <w:bottom w:val="single" w:sz="4" w:space="0" w:color="auto"/>
              <w:right w:val="single" w:sz="4" w:space="0" w:color="auto"/>
            </w:tcBorders>
            <w:vAlign w:val="center"/>
            <w:hideMark/>
          </w:tcPr>
          <w:p w14:paraId="5E100E96" w14:textId="77777777" w:rsidR="00700A3D" w:rsidRDefault="00700A3D">
            <w:pPr>
              <w:pStyle w:val="Table1"/>
              <w:spacing w:before="94" w:after="94"/>
              <w:rPr>
                <w:rFonts w:cs="Arial"/>
                <w:b w:val="0"/>
                <w:szCs w:val="18"/>
                <w:lang w:val="en-AU"/>
              </w:rPr>
            </w:pPr>
            <w:r>
              <w:rPr>
                <w:rFonts w:cs="Arial"/>
                <w:b w:val="0"/>
                <w:szCs w:val="18"/>
                <w:lang w:val="en-AU"/>
              </w:rPr>
              <w:t>233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90C70ED" w14:textId="77777777" w:rsidR="00700A3D" w:rsidRDefault="00700A3D">
            <w:pPr>
              <w:pStyle w:val="Table1"/>
              <w:spacing w:before="94" w:after="94"/>
              <w:rPr>
                <w:rFonts w:cs="Arial"/>
                <w:b w:val="0"/>
                <w:szCs w:val="18"/>
                <w:lang w:val="en-AU"/>
              </w:rPr>
            </w:pPr>
            <w:r>
              <w:rPr>
                <w:rFonts w:cs="Arial"/>
                <w:b w:val="0"/>
                <w:szCs w:val="18"/>
                <w:lang w:val="en-AU"/>
              </w:rPr>
              <w:t>531</w:t>
            </w:r>
          </w:p>
        </w:tc>
        <w:tc>
          <w:tcPr>
            <w:tcW w:w="894" w:type="dxa"/>
            <w:tcBorders>
              <w:top w:val="single" w:sz="4" w:space="0" w:color="auto"/>
              <w:left w:val="single" w:sz="4" w:space="0" w:color="auto"/>
              <w:bottom w:val="single" w:sz="4" w:space="0" w:color="auto"/>
              <w:right w:val="single" w:sz="4" w:space="0" w:color="auto"/>
            </w:tcBorders>
            <w:vAlign w:val="center"/>
            <w:hideMark/>
          </w:tcPr>
          <w:p w14:paraId="5D55052B" w14:textId="77777777" w:rsidR="00700A3D" w:rsidRDefault="00700A3D">
            <w:pPr>
              <w:pStyle w:val="Table1"/>
              <w:spacing w:before="94" w:after="94"/>
              <w:rPr>
                <w:rFonts w:cs="Arial"/>
                <w:b w:val="0"/>
                <w:szCs w:val="18"/>
                <w:lang w:val="en-AU"/>
              </w:rPr>
            </w:pPr>
            <w:r>
              <w:rPr>
                <w:rFonts w:cs="Arial"/>
                <w:b w:val="0"/>
                <w:szCs w:val="18"/>
                <w:lang w:val="en-AU"/>
              </w:rPr>
              <w:t>21227</w:t>
            </w:r>
          </w:p>
        </w:tc>
      </w:tr>
      <w:tr w:rsidR="00700A3D" w14:paraId="2E09DB57" w14:textId="77777777" w:rsidTr="00700A3D">
        <w:tc>
          <w:tcPr>
            <w:tcW w:w="1536" w:type="dxa"/>
            <w:tcBorders>
              <w:top w:val="single" w:sz="4" w:space="0" w:color="auto"/>
              <w:left w:val="single" w:sz="4" w:space="0" w:color="auto"/>
              <w:bottom w:val="single" w:sz="4" w:space="0" w:color="auto"/>
              <w:right w:val="single" w:sz="4" w:space="0" w:color="auto"/>
            </w:tcBorders>
            <w:vAlign w:val="center"/>
            <w:hideMark/>
          </w:tcPr>
          <w:p w14:paraId="18C8491B" w14:textId="77777777" w:rsidR="00700A3D" w:rsidRDefault="00700A3D">
            <w:pPr>
              <w:pStyle w:val="FSTableColumnRowheading"/>
              <w:spacing w:before="94" w:after="94"/>
              <w:rPr>
                <w:rFonts w:cs="Arial"/>
                <w:sz w:val="18"/>
                <w:szCs w:val="18"/>
                <w:lang w:val="en-AU"/>
              </w:rPr>
            </w:pPr>
            <w:r>
              <w:rPr>
                <w:rFonts w:cs="Arial"/>
                <w:sz w:val="18"/>
                <w:szCs w:val="18"/>
                <w:lang w:val="en-AU"/>
              </w:rPr>
              <w:t>Food service</w:t>
            </w:r>
          </w:p>
        </w:tc>
        <w:tc>
          <w:tcPr>
            <w:tcW w:w="717" w:type="dxa"/>
            <w:tcBorders>
              <w:top w:val="single" w:sz="4" w:space="0" w:color="auto"/>
              <w:left w:val="single" w:sz="4" w:space="0" w:color="auto"/>
              <w:bottom w:val="single" w:sz="4" w:space="0" w:color="auto"/>
              <w:right w:val="single" w:sz="4" w:space="0" w:color="auto"/>
            </w:tcBorders>
            <w:vAlign w:val="center"/>
            <w:hideMark/>
          </w:tcPr>
          <w:p w14:paraId="56A95990" w14:textId="77777777" w:rsidR="00700A3D" w:rsidRDefault="00700A3D">
            <w:pPr>
              <w:pStyle w:val="Table1"/>
              <w:spacing w:before="94" w:after="94"/>
              <w:rPr>
                <w:rFonts w:cs="Arial"/>
                <w:b w:val="0"/>
                <w:szCs w:val="18"/>
                <w:lang w:val="en-AU"/>
              </w:rPr>
            </w:pPr>
            <w:r>
              <w:rPr>
                <w:rFonts w:cs="Arial"/>
                <w:b w:val="0"/>
                <w:szCs w:val="18"/>
                <w:lang w:val="en-AU"/>
              </w:rPr>
              <w:t>25942</w:t>
            </w:r>
          </w:p>
        </w:tc>
        <w:tc>
          <w:tcPr>
            <w:tcW w:w="875" w:type="dxa"/>
            <w:tcBorders>
              <w:top w:val="single" w:sz="4" w:space="0" w:color="auto"/>
              <w:left w:val="single" w:sz="4" w:space="0" w:color="auto"/>
              <w:bottom w:val="single" w:sz="4" w:space="0" w:color="auto"/>
              <w:right w:val="single" w:sz="4" w:space="0" w:color="auto"/>
            </w:tcBorders>
            <w:vAlign w:val="center"/>
            <w:hideMark/>
          </w:tcPr>
          <w:p w14:paraId="39DDD177" w14:textId="77777777" w:rsidR="00700A3D" w:rsidRDefault="00700A3D">
            <w:pPr>
              <w:pStyle w:val="Table1"/>
              <w:spacing w:before="94" w:after="94"/>
              <w:rPr>
                <w:rFonts w:cs="Arial"/>
                <w:b w:val="0"/>
                <w:szCs w:val="18"/>
                <w:lang w:val="en-AU"/>
              </w:rPr>
            </w:pPr>
            <w:r>
              <w:rPr>
                <w:rFonts w:cs="Arial"/>
                <w:b w:val="0"/>
                <w:szCs w:val="18"/>
                <w:lang w:val="en-AU"/>
              </w:rPr>
              <w:t>19034</w:t>
            </w:r>
          </w:p>
        </w:tc>
        <w:tc>
          <w:tcPr>
            <w:tcW w:w="875" w:type="dxa"/>
            <w:tcBorders>
              <w:top w:val="single" w:sz="4" w:space="0" w:color="auto"/>
              <w:left w:val="single" w:sz="4" w:space="0" w:color="auto"/>
              <w:bottom w:val="single" w:sz="4" w:space="0" w:color="auto"/>
              <w:right w:val="single" w:sz="4" w:space="0" w:color="auto"/>
            </w:tcBorders>
            <w:vAlign w:val="center"/>
            <w:hideMark/>
          </w:tcPr>
          <w:p w14:paraId="0DB98824" w14:textId="77777777" w:rsidR="00700A3D" w:rsidRDefault="00700A3D">
            <w:pPr>
              <w:pStyle w:val="Table1"/>
              <w:spacing w:before="94" w:after="94"/>
              <w:rPr>
                <w:rFonts w:cs="Arial"/>
                <w:b w:val="0"/>
                <w:szCs w:val="18"/>
                <w:lang w:val="en-AU"/>
              </w:rPr>
            </w:pPr>
            <w:r>
              <w:rPr>
                <w:rFonts w:cs="Arial"/>
                <w:b w:val="0"/>
                <w:szCs w:val="18"/>
                <w:lang w:val="en-AU"/>
              </w:rPr>
              <w:t>14199</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A8929D" w14:textId="77777777" w:rsidR="00700A3D" w:rsidRDefault="00700A3D">
            <w:pPr>
              <w:pStyle w:val="Table1"/>
              <w:spacing w:before="94" w:after="94"/>
              <w:rPr>
                <w:rFonts w:cs="Arial"/>
                <w:b w:val="0"/>
                <w:szCs w:val="18"/>
                <w:lang w:val="en-AU"/>
              </w:rPr>
            </w:pPr>
            <w:r>
              <w:rPr>
                <w:rFonts w:cs="Arial"/>
                <w:b w:val="0"/>
                <w:szCs w:val="18"/>
                <w:lang w:val="en-AU"/>
              </w:rPr>
              <w:t>7521</w:t>
            </w:r>
          </w:p>
        </w:tc>
        <w:tc>
          <w:tcPr>
            <w:tcW w:w="840" w:type="dxa"/>
            <w:tcBorders>
              <w:top w:val="single" w:sz="4" w:space="0" w:color="auto"/>
              <w:left w:val="single" w:sz="4" w:space="0" w:color="auto"/>
              <w:bottom w:val="single" w:sz="4" w:space="0" w:color="auto"/>
              <w:right w:val="single" w:sz="4" w:space="0" w:color="auto"/>
            </w:tcBorders>
            <w:vAlign w:val="center"/>
            <w:hideMark/>
          </w:tcPr>
          <w:p w14:paraId="5B0D5A17" w14:textId="77777777" w:rsidR="00700A3D" w:rsidRDefault="00700A3D">
            <w:pPr>
              <w:pStyle w:val="Table1"/>
              <w:spacing w:before="94" w:after="94"/>
              <w:rPr>
                <w:rFonts w:cs="Arial"/>
                <w:b w:val="0"/>
                <w:szCs w:val="18"/>
                <w:lang w:val="en-AU"/>
              </w:rPr>
            </w:pPr>
            <w:r>
              <w:rPr>
                <w:rFonts w:cs="Arial"/>
                <w:b w:val="0"/>
                <w:szCs w:val="18"/>
                <w:lang w:val="en-AU"/>
              </w:rPr>
              <w:t>6063</w:t>
            </w:r>
          </w:p>
        </w:tc>
        <w:tc>
          <w:tcPr>
            <w:tcW w:w="840" w:type="dxa"/>
            <w:tcBorders>
              <w:top w:val="single" w:sz="4" w:space="0" w:color="auto"/>
              <w:left w:val="single" w:sz="4" w:space="0" w:color="auto"/>
              <w:bottom w:val="single" w:sz="4" w:space="0" w:color="auto"/>
              <w:right w:val="single" w:sz="4" w:space="0" w:color="auto"/>
            </w:tcBorders>
            <w:vAlign w:val="center"/>
            <w:hideMark/>
          </w:tcPr>
          <w:p w14:paraId="2A460204" w14:textId="77777777" w:rsidR="00700A3D" w:rsidRDefault="00700A3D">
            <w:pPr>
              <w:pStyle w:val="Table1"/>
              <w:spacing w:before="94" w:after="94"/>
              <w:rPr>
                <w:rFonts w:cs="Arial"/>
                <w:b w:val="0"/>
                <w:szCs w:val="18"/>
                <w:lang w:val="en-AU"/>
              </w:rPr>
            </w:pPr>
            <w:r>
              <w:rPr>
                <w:rFonts w:cs="Arial"/>
                <w:b w:val="0"/>
                <w:szCs w:val="18"/>
                <w:lang w:val="en-AU"/>
              </w:rPr>
              <w:t>1228</w:t>
            </w:r>
          </w:p>
        </w:tc>
        <w:tc>
          <w:tcPr>
            <w:tcW w:w="803" w:type="dxa"/>
            <w:tcBorders>
              <w:top w:val="single" w:sz="4" w:space="0" w:color="auto"/>
              <w:left w:val="single" w:sz="4" w:space="0" w:color="auto"/>
              <w:bottom w:val="single" w:sz="4" w:space="0" w:color="auto"/>
              <w:right w:val="single" w:sz="4" w:space="0" w:color="auto"/>
            </w:tcBorders>
            <w:vAlign w:val="center"/>
            <w:hideMark/>
          </w:tcPr>
          <w:p w14:paraId="5AC82F3D" w14:textId="77777777" w:rsidR="00700A3D" w:rsidRDefault="00700A3D">
            <w:pPr>
              <w:pStyle w:val="Table1"/>
              <w:spacing w:before="94" w:after="94"/>
              <w:rPr>
                <w:rFonts w:cs="Arial"/>
                <w:b w:val="0"/>
                <w:szCs w:val="18"/>
                <w:lang w:val="en-AU"/>
              </w:rPr>
            </w:pPr>
            <w:r>
              <w:rPr>
                <w:rFonts w:cs="Arial"/>
                <w:b w:val="0"/>
                <w:szCs w:val="18"/>
                <w:lang w:val="en-AU"/>
              </w:rPr>
              <w:t>844</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C9248E" w14:textId="77777777" w:rsidR="00700A3D" w:rsidRDefault="00700A3D">
            <w:pPr>
              <w:pStyle w:val="Table1"/>
              <w:spacing w:before="94" w:after="94"/>
              <w:rPr>
                <w:rFonts w:cs="Arial"/>
                <w:b w:val="0"/>
                <w:szCs w:val="18"/>
                <w:lang w:val="en-AU"/>
              </w:rPr>
            </w:pPr>
            <w:r>
              <w:rPr>
                <w:rFonts w:cs="Arial"/>
                <w:b w:val="0"/>
                <w:szCs w:val="18"/>
                <w:lang w:val="en-AU"/>
              </w:rPr>
              <w:t>1919</w:t>
            </w:r>
          </w:p>
        </w:tc>
        <w:tc>
          <w:tcPr>
            <w:tcW w:w="894" w:type="dxa"/>
            <w:tcBorders>
              <w:top w:val="single" w:sz="4" w:space="0" w:color="auto"/>
              <w:left w:val="single" w:sz="4" w:space="0" w:color="auto"/>
              <w:bottom w:val="single" w:sz="4" w:space="0" w:color="auto"/>
              <w:right w:val="single" w:sz="4" w:space="0" w:color="auto"/>
            </w:tcBorders>
            <w:vAlign w:val="center"/>
            <w:hideMark/>
          </w:tcPr>
          <w:p w14:paraId="5B8C3CEB" w14:textId="77777777" w:rsidR="00700A3D" w:rsidRDefault="00700A3D">
            <w:pPr>
              <w:pStyle w:val="Table1"/>
              <w:spacing w:before="94" w:after="94"/>
              <w:rPr>
                <w:rFonts w:cs="Arial"/>
                <w:b w:val="0"/>
                <w:szCs w:val="18"/>
                <w:lang w:val="en-AU"/>
              </w:rPr>
            </w:pPr>
            <w:r>
              <w:rPr>
                <w:rFonts w:cs="Arial"/>
                <w:b w:val="0"/>
                <w:szCs w:val="18"/>
                <w:lang w:val="en-AU"/>
              </w:rPr>
              <w:t>76750</w:t>
            </w:r>
          </w:p>
        </w:tc>
      </w:tr>
      <w:tr w:rsidR="00700A3D" w14:paraId="5A6D998F" w14:textId="77777777" w:rsidTr="00700A3D">
        <w:tc>
          <w:tcPr>
            <w:tcW w:w="1536" w:type="dxa"/>
            <w:tcBorders>
              <w:top w:val="single" w:sz="4" w:space="0" w:color="auto"/>
              <w:left w:val="single" w:sz="4" w:space="0" w:color="auto"/>
              <w:bottom w:val="single" w:sz="4" w:space="0" w:color="auto"/>
              <w:right w:val="single" w:sz="4" w:space="0" w:color="auto"/>
            </w:tcBorders>
            <w:vAlign w:val="center"/>
            <w:hideMark/>
          </w:tcPr>
          <w:p w14:paraId="4B305586" w14:textId="77777777" w:rsidR="00700A3D" w:rsidRDefault="00700A3D">
            <w:pPr>
              <w:pStyle w:val="FSTableColumnRowheading"/>
              <w:spacing w:before="94" w:after="94"/>
              <w:rPr>
                <w:rFonts w:cs="Arial"/>
                <w:sz w:val="18"/>
                <w:szCs w:val="18"/>
                <w:lang w:val="en-AU"/>
              </w:rPr>
            </w:pPr>
            <w:r>
              <w:rPr>
                <w:rFonts w:cs="Arial"/>
                <w:sz w:val="18"/>
                <w:szCs w:val="18"/>
                <w:lang w:val="en-AU"/>
              </w:rPr>
              <w:t>Total</w:t>
            </w:r>
          </w:p>
        </w:tc>
        <w:tc>
          <w:tcPr>
            <w:tcW w:w="6630" w:type="dxa"/>
            <w:gridSpan w:val="8"/>
            <w:tcBorders>
              <w:top w:val="single" w:sz="4" w:space="0" w:color="auto"/>
              <w:left w:val="single" w:sz="4" w:space="0" w:color="auto"/>
              <w:bottom w:val="single" w:sz="4" w:space="0" w:color="auto"/>
              <w:right w:val="single" w:sz="4" w:space="0" w:color="auto"/>
            </w:tcBorders>
            <w:vAlign w:val="center"/>
          </w:tcPr>
          <w:p w14:paraId="184DC302" w14:textId="77777777" w:rsidR="00700A3D" w:rsidRDefault="00700A3D">
            <w:pPr>
              <w:pStyle w:val="Table1"/>
              <w:spacing w:before="94" w:after="94"/>
              <w:rPr>
                <w:rFonts w:cs="Arial"/>
                <w:b w:val="0"/>
                <w:szCs w:val="18"/>
                <w:lang w:val="en-AU"/>
              </w:rPr>
            </w:pPr>
          </w:p>
        </w:tc>
        <w:tc>
          <w:tcPr>
            <w:tcW w:w="894" w:type="dxa"/>
            <w:tcBorders>
              <w:top w:val="single" w:sz="4" w:space="0" w:color="auto"/>
              <w:left w:val="single" w:sz="4" w:space="0" w:color="auto"/>
              <w:bottom w:val="single" w:sz="4" w:space="0" w:color="auto"/>
              <w:right w:val="single" w:sz="4" w:space="0" w:color="auto"/>
            </w:tcBorders>
            <w:vAlign w:val="center"/>
            <w:hideMark/>
          </w:tcPr>
          <w:p w14:paraId="7A3EE895" w14:textId="77777777" w:rsidR="00700A3D" w:rsidRDefault="00700A3D">
            <w:pPr>
              <w:pStyle w:val="Table1"/>
              <w:spacing w:before="94" w:after="94"/>
              <w:rPr>
                <w:rFonts w:cs="Arial"/>
                <w:szCs w:val="18"/>
                <w:lang w:val="en-AU"/>
              </w:rPr>
            </w:pPr>
            <w:r>
              <w:rPr>
                <w:rFonts w:cs="Arial"/>
                <w:szCs w:val="18"/>
                <w:lang w:val="en-AU"/>
              </w:rPr>
              <w:t>97,977</w:t>
            </w:r>
          </w:p>
        </w:tc>
      </w:tr>
    </w:tbl>
    <w:p w14:paraId="39A8DF7D" w14:textId="77777777" w:rsidR="00700A3D" w:rsidRDefault="00700A3D" w:rsidP="00700A3D">
      <w:pPr>
        <w:rPr>
          <w:sz w:val="18"/>
          <w:lang w:val="en-AU"/>
        </w:rPr>
      </w:pPr>
      <w:r>
        <w:rPr>
          <w:sz w:val="18"/>
        </w:rPr>
        <w:t xml:space="preserve">Source: </w:t>
      </w:r>
      <w:r>
        <w:rPr>
          <w:sz w:val="18"/>
          <w:lang w:val="en-AU"/>
        </w:rPr>
        <w:t>Allen Consulting Group 2002</w:t>
      </w:r>
    </w:p>
    <w:p w14:paraId="1E927E67" w14:textId="4F528833" w:rsidR="00700A3D" w:rsidRDefault="00700A3D" w:rsidP="00700A3D">
      <w:r>
        <w:rPr>
          <w:noProof/>
          <w:lang w:eastAsia="en-GB"/>
        </w:rPr>
        <mc:AlternateContent>
          <mc:Choice Requires="wps">
            <w:drawing>
              <wp:inline distT="0" distB="0" distL="0" distR="0" wp14:anchorId="06F65523" wp14:editId="6CBAA4D6">
                <wp:extent cx="5788660" cy="533400"/>
                <wp:effectExtent l="9525" t="9525" r="1206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533400"/>
                        </a:xfrm>
                        <a:prstGeom prst="rect">
                          <a:avLst/>
                        </a:prstGeom>
                        <a:solidFill>
                          <a:schemeClr val="bg1">
                            <a:lumMod val="95000"/>
                            <a:lumOff val="0"/>
                          </a:schemeClr>
                        </a:solidFill>
                        <a:ln w="6350">
                          <a:solidFill>
                            <a:srgbClr val="000000"/>
                          </a:solidFill>
                          <a:miter lim="800000"/>
                          <a:headEnd/>
                          <a:tailEnd/>
                        </a:ln>
                      </wps:spPr>
                      <wps:txbx>
                        <w:txbxContent>
                          <w:p w14:paraId="51B6F891" w14:textId="5BA227D0" w:rsidR="00C32887" w:rsidRPr="00D3134A" w:rsidRDefault="00C32887" w:rsidP="00700A3D">
                            <w:pPr>
                              <w:rPr>
                                <w:b/>
                                <w:sz w:val="20"/>
                                <w:szCs w:val="20"/>
                              </w:rPr>
                            </w:pPr>
                            <w:r w:rsidRPr="00D3134A">
                              <w:rPr>
                                <w:b/>
                                <w:sz w:val="20"/>
                                <w:szCs w:val="20"/>
                              </w:rPr>
                              <w:t>FSANZ welcomes information in submissions that can further inform us of the number, size and location of the food business sectors identified in Table 1.</w:t>
                            </w:r>
                          </w:p>
                        </w:txbxContent>
                      </wps:txbx>
                      <wps:bodyPr rot="0" vert="horz" wrap="square" lIns="91440" tIns="45720" rIns="91440" bIns="45720" anchor="t" anchorCtr="0" upright="1">
                        <a:noAutofit/>
                      </wps:bodyPr>
                    </wps:wsp>
                  </a:graphicData>
                </a:graphic>
              </wp:inline>
            </w:drawing>
          </mc:Choice>
          <mc:Fallback>
            <w:pict>
              <v:shape w14:anchorId="06F65523" id="Text Box 6" o:spid="_x0000_s1027" type="#_x0000_t202" style="width:455.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JaSQIAAI0EAAAOAAAAZHJzL2Uyb0RvYy54bWysVNtu2zAMfR+wfxD0vtppLk2NOkWXrsOA&#10;7gK0+wBalm1huk1SYndfP0pK03R7G/ZiSCR1SJ5D+up6UpLsufPC6JrOzkpKuGamFbqv6ffHu3dr&#10;SnwA3YI0mtf0iXt6vXn75mq0FT83g5EtdwRBtK9GW9MhBFsVhWcDV+DPjOUanZ1xCgJeXV+0DkZE&#10;V7I4L8tVMRrXWmcY9x6tt9lJNwm/6zgLX7vO80BkTbG2kL4ufZv4LTZXUPUO7CDYoQz4hyoUCI1J&#10;j1C3EIDsnPgLSgnmjDddOGNGFabrBOOpB+xmVv7RzcMAlqdekBxvjzT5/wfLvuy/OSLamq4o0aBQ&#10;okc+BfLeTGQV2RmtrzDowWJYmNCMKqdOvb037Icn2mwH0D2/cc6MA4cWq5vFl8XJ04zjI0gzfjYt&#10;poFdMAlo6pyK1CEZBNFRpaejMrEUhsblxXq9WqGLoW85ny/KJF0B1fNr63z4yI0i8VBTh8ondNjf&#10;+xCrgeo5JCbzRor2TkiZLnHa+FY6sgeck6bPHcqdwlKz7XJZ5pRQoRlnKpufq0jzGhFSolfgUpMR&#10;2Z0vy0zbq8Sub45pMcEhB9b6CkKJgEsiharp+hgEVST7g27TCAcQMp/xsdQH9iPhmfowNVOSOUkT&#10;lWlM+4RyOJN3AncYD4NxvygZcR9q6n/uwHFK5CeNkl7OFou4QOmyWF6c48WdeppTD2iGUDUNlOTj&#10;NuSl21kn+gEzZYq1ucEx6ERS6KWqQ/k484nPw37GpTq9p6iXv8jmNwAAAP//AwBQSwMEFAAGAAgA&#10;AAAhAAlxWLndAAAABAEAAA8AAABkcnMvZG93bnJldi54bWxMj81OwzAQhO9IvIO1SL1RJ7SKQppN&#10;BUi98HMg5NCjG2+TQLyOYrdN3x63F7isNJrRzLf5ejK9ONLoOssI8TwCQVxb3XGDUH1t7lMQzivW&#10;qrdMCGdysC5ub3KVaXviTzqWvhGhhF2mEFrvh0xKV7dklJvbgTh4ezsa5YMcG6lHdQrlppcPUZRI&#10;ozoOC60a6KWl+qc8GIRl+fy6qc9via4+0kVq3rfV97RFnN1NTysQnib/F4YLfkCHIjDt7IG1Ez1C&#10;eMRfb/Ae4zgBsUNIlxHIIpf/4YtfAAAA//8DAFBLAQItABQABgAIAAAAIQC2gziS/gAAAOEBAAAT&#10;AAAAAAAAAAAAAAAAAAAAAABbQ29udGVudF9UeXBlc10ueG1sUEsBAi0AFAAGAAgAAAAhADj9If/W&#10;AAAAlAEAAAsAAAAAAAAAAAAAAAAALwEAAF9yZWxzLy5yZWxzUEsBAi0AFAAGAAgAAAAhACWyolpJ&#10;AgAAjQQAAA4AAAAAAAAAAAAAAAAALgIAAGRycy9lMm9Eb2MueG1sUEsBAi0AFAAGAAgAAAAhAAlx&#10;WLndAAAABAEAAA8AAAAAAAAAAAAAAAAAowQAAGRycy9kb3ducmV2LnhtbFBLBQYAAAAABAAEAPMA&#10;AACtBQAAAAA=&#10;" fillcolor="#f2f2f2 [3052]" strokeweight=".5pt">
                <v:textbox>
                  <w:txbxContent>
                    <w:p w14:paraId="51B6F891" w14:textId="5BA227D0" w:rsidR="00C32887" w:rsidRPr="00D3134A" w:rsidRDefault="00C32887" w:rsidP="00700A3D">
                      <w:pPr>
                        <w:rPr>
                          <w:b/>
                          <w:sz w:val="20"/>
                          <w:szCs w:val="20"/>
                        </w:rPr>
                      </w:pPr>
                      <w:r w:rsidRPr="00D3134A">
                        <w:rPr>
                          <w:b/>
                          <w:sz w:val="20"/>
                          <w:szCs w:val="20"/>
                        </w:rPr>
                        <w:t>FSANZ welcomes information in submissions that can further inform us of the number, size and location of the food business sectors identified in Table 1.</w:t>
                      </w:r>
                    </w:p>
                  </w:txbxContent>
                </v:textbox>
                <w10:anchorlock/>
              </v:shape>
            </w:pict>
          </mc:Fallback>
        </mc:AlternateContent>
      </w:r>
    </w:p>
    <w:p w14:paraId="7507ED89" w14:textId="77777777" w:rsidR="00700A3D" w:rsidRDefault="00700A3D" w:rsidP="00700A3D">
      <w:pPr>
        <w:pStyle w:val="Heading1"/>
      </w:pPr>
      <w:bookmarkStart w:id="9" w:name="_Toc33094510"/>
      <w:r>
        <w:t>3.</w:t>
      </w:r>
      <w:r>
        <w:tab/>
        <w:t>Current status of food safety management</w:t>
      </w:r>
      <w:bookmarkEnd w:id="9"/>
    </w:p>
    <w:p w14:paraId="4C30A2D8" w14:textId="77777777" w:rsidR="00700A3D" w:rsidRDefault="00700A3D" w:rsidP="0062121C">
      <w:r>
        <w:t xml:space="preserve">In Australia, state and territory food regulators use a wide range of food safety management tools aimed at reducing foodborne illness. Tools can be regulatory or non-regulatory and include legislation, guidance material, education and training. Tools are used to varying degrees in different jurisdictions to require or encourage food businesses to manage their food safety risks and strengthen their food safety culture. </w:t>
      </w:r>
    </w:p>
    <w:p w14:paraId="00E41EE6" w14:textId="77777777" w:rsidR="00700A3D" w:rsidRDefault="00700A3D" w:rsidP="00700A3D">
      <w:pPr>
        <w:pStyle w:val="Heading2"/>
      </w:pPr>
      <w:bookmarkStart w:id="10" w:name="_Toc33094511"/>
      <w:r>
        <w:t>3.1</w:t>
      </w:r>
      <w:r>
        <w:tab/>
        <w:t>Current regulatory measures</w:t>
      </w:r>
      <w:bookmarkEnd w:id="10"/>
    </w:p>
    <w:p w14:paraId="4A821CA5" w14:textId="128F88F0" w:rsidR="00700A3D" w:rsidRDefault="00700A3D" w:rsidP="0062121C">
      <w:r>
        <w:t xml:space="preserve">Food </w:t>
      </w:r>
      <w:r w:rsidRPr="006F7710">
        <w:t xml:space="preserve">safety is </w:t>
      </w:r>
      <w:r w:rsidR="009A7E2D" w:rsidRPr="006F7710">
        <w:t>referred to</w:t>
      </w:r>
      <w:r w:rsidRPr="006F7710">
        <w:t xml:space="preserve"> </w:t>
      </w:r>
      <w:r w:rsidR="009A7E2D" w:rsidRPr="006F7710">
        <w:t>in</w:t>
      </w:r>
      <w:r w:rsidRPr="006F7710">
        <w:t xml:space="preserve"> several</w:t>
      </w:r>
      <w:r>
        <w:t xml:space="preserve"> standards in the Code, including the Food Safety Standards of Chapter 3. </w:t>
      </w:r>
    </w:p>
    <w:p w14:paraId="7C91BD88" w14:textId="58D5AF4E" w:rsidR="00700A3D" w:rsidRDefault="00700A3D" w:rsidP="0062121C">
      <w:r>
        <w:t>Chapter 3 provides minimum food safety requirements intended to ensure that a food business handles and sells safe and suitable food. In particula</w:t>
      </w:r>
      <w:r w:rsidR="00D60E2A">
        <w:t>r, Standard 3.2.2 outlines base-</w:t>
      </w:r>
      <w:r>
        <w:t>level food safety requirements for each step of the food handling process: food receipt, storage, processing, display, packaging, transport, disposal and food recall. Other requirements relate to the skills and knowledge of food handlers and their supervisors, the health and hygiene of food handlers, and the cleaning, sanitising and maintenance of equipment.</w:t>
      </w:r>
    </w:p>
    <w:p w14:paraId="7E20FCAB" w14:textId="77777777" w:rsidR="00700A3D" w:rsidRDefault="00700A3D" w:rsidP="0062121C">
      <w:r>
        <w:t xml:space="preserve">A complementary guide to the food safety standards, </w:t>
      </w:r>
      <w:r w:rsidRPr="00D60E2A">
        <w:t>Safe Food Australia</w:t>
      </w:r>
      <w:r>
        <w:rPr>
          <w:i/>
        </w:rPr>
        <w:t xml:space="preserve"> </w:t>
      </w:r>
      <w:r>
        <w:t xml:space="preserve">(FSANZ 2016), provides information for food regulators and businesses on how the requirements may be met. </w:t>
      </w:r>
    </w:p>
    <w:p w14:paraId="528A2C79" w14:textId="28BC277F" w:rsidR="00700A3D" w:rsidRDefault="00700A3D" w:rsidP="0062121C">
      <w:pPr>
        <w:rPr>
          <w:lang w:eastAsia="en-AU"/>
        </w:rPr>
      </w:pPr>
      <w:r>
        <w:t xml:space="preserve">In addition to standards in the Code, several jurisdictions have implemented extra </w:t>
      </w:r>
      <w:r>
        <w:rPr>
          <w:lang w:eastAsia="en-AU"/>
        </w:rPr>
        <w:t xml:space="preserve">food safety requirements in their food acts </w:t>
      </w:r>
      <w:r>
        <w:t>to manage risks associated with the food service and closely related retail sectors. Four jurisdictions (Victoria, NSW, Queensland and ACT) have requirements for food safety supervisors (FSS) wit</w:t>
      </w:r>
      <w:r w:rsidR="00D60E2A">
        <w:t>h competency-</w:t>
      </w:r>
      <w:r>
        <w:t>based training. Victoria and Queensland also have template-based food safety programs, which include</w:t>
      </w:r>
      <w:r>
        <w:rPr>
          <w:lang w:val="en-AU"/>
        </w:rPr>
        <w:t xml:space="preserve"> record-keeping requirements for </w:t>
      </w:r>
      <w:r>
        <w:t xml:space="preserve">key activities. </w:t>
      </w:r>
    </w:p>
    <w:p w14:paraId="19D8FDA5" w14:textId="77777777" w:rsidR="00700A3D" w:rsidRDefault="00700A3D" w:rsidP="0062121C">
      <w:r>
        <w:t xml:space="preserve">There are differences in how these extra requirements are implemented in each jurisdiction, including the risk classifications used and attainment and duration of FSS qualifications. </w:t>
      </w:r>
    </w:p>
    <w:p w14:paraId="62BB0F1A" w14:textId="77777777" w:rsidR="003D1BD9" w:rsidRDefault="003D1BD9">
      <w:pPr>
        <w:spacing w:before="0" w:after="0"/>
        <w:rPr>
          <w:rFonts w:eastAsiaTheme="majorEastAsia" w:cs="Arial"/>
          <w:b/>
          <w:bCs/>
          <w:sz w:val="28"/>
        </w:rPr>
      </w:pPr>
      <w:bookmarkStart w:id="11" w:name="_Toc33094512"/>
      <w:r>
        <w:br w:type="page"/>
      </w:r>
    </w:p>
    <w:p w14:paraId="348754B2" w14:textId="5ABEBF3B" w:rsidR="00700A3D" w:rsidRDefault="00700A3D" w:rsidP="00700A3D">
      <w:pPr>
        <w:pStyle w:val="Heading2"/>
      </w:pPr>
      <w:r>
        <w:lastRenderedPageBreak/>
        <w:t>3.2</w:t>
      </w:r>
      <w:r>
        <w:tab/>
        <w:t>Other measures</w:t>
      </w:r>
      <w:bookmarkEnd w:id="11"/>
    </w:p>
    <w:p w14:paraId="46C8FB84" w14:textId="77777777" w:rsidR="00700A3D" w:rsidRDefault="00700A3D" w:rsidP="0062121C">
      <w:r>
        <w:t xml:space="preserve">Other measures used by jurisdictions to improve food safety include: </w:t>
      </w:r>
    </w:p>
    <w:p w14:paraId="2765E267" w14:textId="77777777" w:rsidR="00700A3D" w:rsidRDefault="00700A3D" w:rsidP="0062121C">
      <w:pPr>
        <w:pStyle w:val="ListParagraph"/>
        <w:numPr>
          <w:ilvl w:val="0"/>
          <w:numId w:val="19"/>
        </w:numPr>
      </w:pPr>
      <w:r>
        <w:t xml:space="preserve">voluntary food safety training offered by states/territories/councils </w:t>
      </w:r>
      <w:r w:rsidRPr="0062121C">
        <w:rPr>
          <w:lang w:val="en-US"/>
        </w:rPr>
        <w:t xml:space="preserve"> </w:t>
      </w:r>
    </w:p>
    <w:p w14:paraId="0AAB4F08" w14:textId="77777777" w:rsidR="00700A3D" w:rsidRPr="0062121C" w:rsidRDefault="00700A3D" w:rsidP="0062121C">
      <w:pPr>
        <w:pStyle w:val="ListParagraph"/>
        <w:numPr>
          <w:ilvl w:val="0"/>
          <w:numId w:val="19"/>
        </w:numPr>
        <w:rPr>
          <w:lang w:val="en-US"/>
        </w:rPr>
      </w:pPr>
      <w:r w:rsidRPr="0062121C">
        <w:rPr>
          <w:lang w:val="en-US"/>
        </w:rPr>
        <w:t xml:space="preserve">performance rating schemes (public display of food safety performance, such as ‘Scores on Doors’) </w:t>
      </w:r>
    </w:p>
    <w:p w14:paraId="69038F90" w14:textId="394C33B2" w:rsidR="00700A3D" w:rsidRPr="0062121C" w:rsidRDefault="00700A3D" w:rsidP="0062121C">
      <w:pPr>
        <w:pStyle w:val="ListParagraph"/>
        <w:numPr>
          <w:ilvl w:val="0"/>
          <w:numId w:val="19"/>
        </w:numPr>
        <w:rPr>
          <w:lang w:val="en-US"/>
        </w:rPr>
      </w:pPr>
      <w:r w:rsidRPr="0062121C">
        <w:rPr>
          <w:lang w:val="en-US"/>
        </w:rPr>
        <w:t xml:space="preserve">requests for evidence </w:t>
      </w:r>
      <w:r w:rsidR="00A4144A" w:rsidRPr="0062121C">
        <w:rPr>
          <w:lang w:val="en-US"/>
        </w:rPr>
        <w:t xml:space="preserve">that </w:t>
      </w:r>
      <w:r w:rsidRPr="0062121C">
        <w:rPr>
          <w:lang w:val="en-US"/>
        </w:rPr>
        <w:t>high-risk activities</w:t>
      </w:r>
      <w:r w:rsidR="00A4144A" w:rsidRPr="0062121C">
        <w:rPr>
          <w:lang w:val="en-US"/>
        </w:rPr>
        <w:t xml:space="preserve"> have been managed</w:t>
      </w:r>
      <w:r w:rsidRPr="0062121C">
        <w:rPr>
          <w:lang w:val="en-US"/>
        </w:rPr>
        <w:t>; with templates provided to help businesses meet this expectation</w:t>
      </w:r>
    </w:p>
    <w:p w14:paraId="48A78737" w14:textId="77777777" w:rsidR="00700A3D" w:rsidRDefault="00700A3D" w:rsidP="0062121C">
      <w:pPr>
        <w:pStyle w:val="ListParagraph"/>
        <w:numPr>
          <w:ilvl w:val="0"/>
          <w:numId w:val="19"/>
        </w:numPr>
      </w:pPr>
      <w:r w:rsidRPr="0062121C">
        <w:rPr>
          <w:lang w:val="en-US"/>
        </w:rPr>
        <w:t xml:space="preserve">food safety culture education (e.g. regulators working with businesses to </w:t>
      </w:r>
      <w:r>
        <w:t>improve awareness of their food safety risks and commitment to managing those risks).</w:t>
      </w:r>
    </w:p>
    <w:p w14:paraId="5DFB2524" w14:textId="77777777" w:rsidR="00700A3D" w:rsidRDefault="00700A3D" w:rsidP="0062121C">
      <w:r>
        <w:t>Further details of each measure are provided in Appendix 1.</w:t>
      </w:r>
    </w:p>
    <w:p w14:paraId="06CCBFF5" w14:textId="77777777" w:rsidR="00700A3D" w:rsidRDefault="00700A3D" w:rsidP="00700A3D">
      <w:pPr>
        <w:pStyle w:val="Heading2"/>
        <w:rPr>
          <w:lang w:eastAsia="en-AU"/>
        </w:rPr>
      </w:pPr>
      <w:bookmarkStart w:id="12" w:name="_Toc33094513"/>
      <w:r>
        <w:rPr>
          <w:lang w:eastAsia="en-AU"/>
        </w:rPr>
        <w:t>3.3</w:t>
      </w:r>
      <w:r>
        <w:rPr>
          <w:lang w:eastAsia="en-AU"/>
        </w:rPr>
        <w:tab/>
        <w:t>Adequacy of current measures</w:t>
      </w:r>
      <w:bookmarkEnd w:id="12"/>
    </w:p>
    <w:p w14:paraId="77ECC05D" w14:textId="77777777" w:rsidR="00700A3D" w:rsidRDefault="00700A3D" w:rsidP="0062121C">
      <w:pPr>
        <w:rPr>
          <w:lang w:val="en-AU"/>
        </w:rPr>
      </w:pPr>
      <w:r>
        <w:rPr>
          <w:lang w:val="en-AU"/>
        </w:rPr>
        <w:t xml:space="preserve">Given ongoing </w:t>
      </w:r>
      <w:r>
        <w:rPr>
          <w:lang w:eastAsia="en-AU"/>
        </w:rPr>
        <w:t xml:space="preserve">foodborne illness </w:t>
      </w:r>
      <w:r>
        <w:rPr>
          <w:lang w:val="en-AU"/>
        </w:rPr>
        <w:t xml:space="preserve">linked to </w:t>
      </w:r>
      <w:r>
        <w:rPr>
          <w:lang w:eastAsia="en-AU"/>
        </w:rPr>
        <w:t>food service businesses and related retailers, food</w:t>
      </w:r>
      <w:r>
        <w:rPr>
          <w:lang w:val="en-AU"/>
        </w:rPr>
        <w:t xml:space="preserve"> regulators have recognised that current risk-management measures (above) are not enough for these sectors. Ministers responsible for food regulation have prioritised the implementation of nationally consistent arrangements for these sectors, under the national foodborne illness reduction strategy. </w:t>
      </w:r>
    </w:p>
    <w:p w14:paraId="509CAFFD" w14:textId="77777777" w:rsidR="00700A3D" w:rsidRDefault="00700A3D" w:rsidP="0062121C">
      <w:pPr>
        <w:rPr>
          <w:lang w:val="en-AU"/>
        </w:rPr>
      </w:pPr>
      <w:r>
        <w:rPr>
          <w:lang w:val="en-AU"/>
        </w:rPr>
        <w:t>Considerable work has been done to review the existing measures and identify best options for moving forward. This work has included government-commissioned research, technical analyses and stakeholder consultations. Much of the work has been completed by a working group (the FSM WG) under FRSC.</w:t>
      </w:r>
    </w:p>
    <w:p w14:paraId="26184EA9" w14:textId="77777777" w:rsidR="00700A3D" w:rsidRDefault="00700A3D" w:rsidP="0062121C">
      <w:pPr>
        <w:rPr>
          <w:lang w:val="en-AU"/>
        </w:rPr>
      </w:pPr>
      <w:r>
        <w:rPr>
          <w:lang w:val="en-AU"/>
        </w:rPr>
        <w:t>Key activities have included:</w:t>
      </w:r>
    </w:p>
    <w:p w14:paraId="0D8E6364" w14:textId="77777777" w:rsidR="00700A3D" w:rsidRPr="0062121C" w:rsidRDefault="00700A3D" w:rsidP="0062121C">
      <w:pPr>
        <w:pStyle w:val="ListParagraph"/>
        <w:numPr>
          <w:ilvl w:val="0"/>
          <w:numId w:val="20"/>
        </w:numPr>
        <w:rPr>
          <w:b/>
          <w:lang w:eastAsia="en-AU"/>
        </w:rPr>
      </w:pPr>
      <w:r w:rsidRPr="0062121C">
        <w:rPr>
          <w:lang w:val="en-AU"/>
        </w:rPr>
        <w:t>developing ministerial policy guidelines:</w:t>
      </w:r>
    </w:p>
    <w:p w14:paraId="2A87BD6F" w14:textId="77777777" w:rsidR="00700A3D" w:rsidRPr="0062121C" w:rsidRDefault="00700A3D" w:rsidP="0062121C">
      <w:pPr>
        <w:pStyle w:val="ListParagraph"/>
        <w:numPr>
          <w:ilvl w:val="1"/>
          <w:numId w:val="20"/>
        </w:numPr>
        <w:rPr>
          <w:b/>
          <w:lang w:eastAsia="en-AU"/>
        </w:rPr>
      </w:pPr>
      <w:r>
        <w:t>Ministerial Policy Guideline on Food Safety Management in Australia (2003)</w:t>
      </w:r>
    </w:p>
    <w:p w14:paraId="347B1774" w14:textId="77777777" w:rsidR="00700A3D" w:rsidRPr="0062121C" w:rsidRDefault="00700A3D" w:rsidP="0062121C">
      <w:pPr>
        <w:pStyle w:val="ListParagraph"/>
        <w:numPr>
          <w:ilvl w:val="1"/>
          <w:numId w:val="20"/>
        </w:numPr>
        <w:rPr>
          <w:b/>
          <w:lang w:eastAsia="en-AU"/>
        </w:rPr>
      </w:pPr>
      <w:r>
        <w:t>Ministerial Policy Guideline on Food Safety Management for General Food Service and Closely Related Retail Sectors (2011)</w:t>
      </w:r>
    </w:p>
    <w:p w14:paraId="713F8598" w14:textId="4AB3919A" w:rsidR="00700A3D" w:rsidRDefault="00D60E2A" w:rsidP="0062121C">
      <w:pPr>
        <w:pStyle w:val="ListParagraph"/>
        <w:numPr>
          <w:ilvl w:val="0"/>
          <w:numId w:val="20"/>
        </w:numPr>
        <w:rPr>
          <w:lang w:eastAsia="en-AU"/>
        </w:rPr>
      </w:pPr>
      <w:r>
        <w:rPr>
          <w:lang w:eastAsia="en-AU"/>
        </w:rPr>
        <w:t xml:space="preserve">risk profiling work, </w:t>
      </w:r>
      <w:r w:rsidR="00700A3D">
        <w:rPr>
          <w:lang w:eastAsia="en-AU"/>
        </w:rPr>
        <w:t>identifying food service and related retailers as priority business sectors</w:t>
      </w:r>
    </w:p>
    <w:p w14:paraId="2CF50ADC" w14:textId="77777777" w:rsidR="00700A3D" w:rsidRDefault="00700A3D" w:rsidP="0062121C">
      <w:pPr>
        <w:pStyle w:val="ListParagraph"/>
        <w:numPr>
          <w:ilvl w:val="0"/>
          <w:numId w:val="20"/>
        </w:numPr>
        <w:rPr>
          <w:lang w:eastAsia="en-AU"/>
        </w:rPr>
      </w:pPr>
      <w:r>
        <w:rPr>
          <w:lang w:eastAsia="en-AU"/>
        </w:rPr>
        <w:t>evaluating the adequacy of existing measures to manage food safety in these sectors</w:t>
      </w:r>
    </w:p>
    <w:p w14:paraId="4FAE7077" w14:textId="77777777" w:rsidR="00700A3D" w:rsidRDefault="00700A3D" w:rsidP="0062121C">
      <w:pPr>
        <w:pStyle w:val="ListParagraph"/>
        <w:numPr>
          <w:ilvl w:val="0"/>
          <w:numId w:val="20"/>
        </w:numPr>
        <w:rPr>
          <w:lang w:eastAsia="en-AU"/>
        </w:rPr>
      </w:pPr>
      <w:r>
        <w:rPr>
          <w:lang w:eastAsia="en-AU"/>
        </w:rPr>
        <w:t>identifying potential additional tools to improve food safety in these sectors</w:t>
      </w:r>
    </w:p>
    <w:p w14:paraId="721D5733" w14:textId="77777777" w:rsidR="00700A3D" w:rsidRDefault="00700A3D" w:rsidP="0062121C">
      <w:pPr>
        <w:pStyle w:val="ListParagraph"/>
        <w:numPr>
          <w:ilvl w:val="0"/>
          <w:numId w:val="20"/>
        </w:numPr>
        <w:rPr>
          <w:lang w:eastAsia="en-AU"/>
        </w:rPr>
      </w:pPr>
      <w:r>
        <w:rPr>
          <w:lang w:eastAsia="en-AU"/>
        </w:rPr>
        <w:t>consulting with stakeholders on these tools</w:t>
      </w:r>
    </w:p>
    <w:p w14:paraId="6AA734CA" w14:textId="77777777" w:rsidR="00700A3D" w:rsidRDefault="00700A3D" w:rsidP="0062121C">
      <w:pPr>
        <w:pStyle w:val="ListParagraph"/>
        <w:numPr>
          <w:ilvl w:val="0"/>
          <w:numId w:val="20"/>
        </w:numPr>
        <w:rPr>
          <w:lang w:eastAsia="en-AU"/>
        </w:rPr>
      </w:pPr>
      <w:r>
        <w:rPr>
          <w:lang w:eastAsia="en-AU"/>
        </w:rPr>
        <w:t>development of Australia’s foodborne illness reduction strategy.</w:t>
      </w:r>
    </w:p>
    <w:p w14:paraId="2BA10D90" w14:textId="77777777" w:rsidR="00700A3D" w:rsidRDefault="00700A3D" w:rsidP="0062121C">
      <w:pPr>
        <w:rPr>
          <w:lang w:eastAsia="en-AU"/>
        </w:rPr>
      </w:pPr>
      <w:r>
        <w:rPr>
          <w:lang w:eastAsia="en-AU"/>
        </w:rPr>
        <w:t>Further details of these activities are provided in Appendix 2.</w:t>
      </w:r>
    </w:p>
    <w:p w14:paraId="5C922188" w14:textId="77777777" w:rsidR="00700A3D" w:rsidRDefault="00700A3D" w:rsidP="0062121C">
      <w:pPr>
        <w:rPr>
          <w:lang w:eastAsia="en-AU"/>
        </w:rPr>
      </w:pPr>
      <w:r>
        <w:rPr>
          <w:lang w:eastAsia="en-AU"/>
        </w:rPr>
        <w:t xml:space="preserve">These activities have culminated in the package of tools proposed by Ministers to improve food safety management in food service and related retailers. </w:t>
      </w:r>
    </w:p>
    <w:p w14:paraId="34D62766" w14:textId="77777777" w:rsidR="003D1BD9" w:rsidRDefault="003D1BD9">
      <w:pPr>
        <w:spacing w:before="0" w:after="0"/>
        <w:rPr>
          <w:rFonts w:eastAsiaTheme="majorEastAsia" w:cstheme="majorBidi"/>
          <w:b/>
          <w:bCs/>
          <w:sz w:val="36"/>
          <w:szCs w:val="28"/>
          <w:lang w:val="en-AU"/>
        </w:rPr>
      </w:pPr>
      <w:bookmarkStart w:id="13" w:name="_Toc33094514"/>
      <w:r>
        <w:rPr>
          <w:lang w:val="en-AU"/>
        </w:rPr>
        <w:br w:type="page"/>
      </w:r>
    </w:p>
    <w:p w14:paraId="6D1D3E89" w14:textId="5313ACB9" w:rsidR="00700A3D" w:rsidRDefault="00700A3D" w:rsidP="00700A3D">
      <w:pPr>
        <w:pStyle w:val="Heading1"/>
      </w:pPr>
      <w:r>
        <w:rPr>
          <w:lang w:val="en-AU"/>
        </w:rPr>
        <w:lastRenderedPageBreak/>
        <w:t>4.</w:t>
      </w:r>
      <w:r>
        <w:rPr>
          <w:lang w:val="en-AU"/>
        </w:rPr>
        <w:tab/>
        <w:t>Additional food safety management tools proposed by Ministers</w:t>
      </w:r>
      <w:bookmarkEnd w:id="13"/>
      <w:r>
        <w:rPr>
          <w:lang w:val="en-AU"/>
        </w:rPr>
        <w:t xml:space="preserve"> </w:t>
      </w:r>
    </w:p>
    <w:p w14:paraId="15F50FB3" w14:textId="77777777" w:rsidR="00700A3D" w:rsidRDefault="00700A3D" w:rsidP="0062121C">
      <w:pPr>
        <w:rPr>
          <w:rFonts w:cs="Arial"/>
        </w:rPr>
      </w:pPr>
      <w:r>
        <w:t xml:space="preserve">The package of food safety management tools that FSANZ has been requested to </w:t>
      </w:r>
      <w:r>
        <w:rPr>
          <w:rFonts w:cs="Arial"/>
        </w:rPr>
        <w:t>consider includes the following regulatory measures:</w:t>
      </w:r>
    </w:p>
    <w:p w14:paraId="7567F84D" w14:textId="49C66FBE" w:rsidR="00700A3D" w:rsidRDefault="00700A3D" w:rsidP="0062121C">
      <w:pPr>
        <w:pStyle w:val="ListParagraph"/>
        <w:numPr>
          <w:ilvl w:val="0"/>
          <w:numId w:val="21"/>
        </w:numPr>
      </w:pPr>
      <w:r>
        <w:t xml:space="preserve">Evidence of skills and knowledge (acquired through non-competency based mandatory training) — regulated food safety training for all food handlers. Further information is outlined in </w:t>
      </w:r>
      <w:r w:rsidR="00906AA4">
        <w:t>s</w:t>
      </w:r>
      <w:r>
        <w:t>ection 4.1.</w:t>
      </w:r>
    </w:p>
    <w:p w14:paraId="30AD9D9B" w14:textId="228C19AE" w:rsidR="00700A3D" w:rsidRDefault="00700A3D" w:rsidP="0062121C">
      <w:pPr>
        <w:pStyle w:val="ListParagraph"/>
        <w:numPr>
          <w:ilvl w:val="0"/>
          <w:numId w:val="21"/>
        </w:numPr>
      </w:pPr>
      <w:r>
        <w:t xml:space="preserve">Evidence of skills and knowledge (acquired through mandatory training with nationally agreed competencies) — a certified FSS. See </w:t>
      </w:r>
      <w:r w:rsidR="00906AA4">
        <w:t>s</w:t>
      </w:r>
      <w:r>
        <w:t>ection 4.2.</w:t>
      </w:r>
    </w:p>
    <w:p w14:paraId="0F841210" w14:textId="5DB373D8" w:rsidR="00700A3D" w:rsidRPr="0062121C" w:rsidRDefault="00700A3D" w:rsidP="0062121C">
      <w:pPr>
        <w:pStyle w:val="ListParagraph"/>
        <w:numPr>
          <w:ilvl w:val="0"/>
          <w:numId w:val="21"/>
        </w:numPr>
        <w:rPr>
          <w:rFonts w:cs="Arial"/>
        </w:rPr>
      </w:pPr>
      <w:r>
        <w:t xml:space="preserve">Evidence that key activities and processes are being controlled —  </w:t>
      </w:r>
      <w:r w:rsidR="003C4234">
        <w:t xml:space="preserve">evidence of </w:t>
      </w:r>
      <w:r w:rsidR="003C4234" w:rsidRPr="003A409C">
        <w:t>essential control measures</w:t>
      </w:r>
      <w:r w:rsidRPr="003A409C">
        <w:t xml:space="preserve">. See </w:t>
      </w:r>
      <w:r w:rsidR="00906AA4" w:rsidRPr="003A409C">
        <w:t>s</w:t>
      </w:r>
      <w:r w:rsidRPr="003A409C">
        <w:t>ection 4.3.</w:t>
      </w:r>
    </w:p>
    <w:p w14:paraId="0C21459F" w14:textId="5D488485" w:rsidR="003A409C" w:rsidRPr="003A409C" w:rsidRDefault="003A409C" w:rsidP="0062121C">
      <w:pPr>
        <w:rPr>
          <w:rFonts w:cs="Calibri"/>
        </w:rPr>
      </w:pPr>
      <w:r w:rsidRPr="003A409C">
        <w:rPr>
          <w:rFonts w:cs="Calibri"/>
        </w:rPr>
        <w:t>Two non-regulatory tools were also included in the package proposed by Ministers</w:t>
      </w:r>
      <w:r w:rsidR="00D823A3">
        <w:rPr>
          <w:rFonts w:cs="Calibri"/>
        </w:rPr>
        <w:t xml:space="preserve"> (Appendix 2)</w:t>
      </w:r>
      <w:r w:rsidR="00485910">
        <w:rPr>
          <w:rFonts w:cs="Calibri"/>
        </w:rPr>
        <w:t>. Wh</w:t>
      </w:r>
      <w:r w:rsidRPr="003A409C">
        <w:rPr>
          <w:rFonts w:cs="Calibri"/>
        </w:rPr>
        <w:t>ile FSANZ will consider thes</w:t>
      </w:r>
      <w:r>
        <w:rPr>
          <w:rFonts w:cs="Calibri"/>
        </w:rPr>
        <w:t xml:space="preserve">e tools </w:t>
      </w:r>
      <w:r w:rsidR="005B61D2">
        <w:rPr>
          <w:rFonts w:cs="Calibri"/>
        </w:rPr>
        <w:t>in applying the</w:t>
      </w:r>
      <w:r>
        <w:rPr>
          <w:rFonts w:cs="Calibri"/>
        </w:rPr>
        <w:t xml:space="preserve"> statutory assessment criteria (section 6.1)</w:t>
      </w:r>
      <w:r w:rsidRPr="003A409C">
        <w:rPr>
          <w:rFonts w:cs="Calibri"/>
        </w:rPr>
        <w:t xml:space="preserve">, </w:t>
      </w:r>
      <w:r w:rsidR="00485910">
        <w:rPr>
          <w:rFonts w:cs="Calibri"/>
        </w:rPr>
        <w:t>n</w:t>
      </w:r>
      <w:r w:rsidR="00D823A3">
        <w:rPr>
          <w:rFonts w:cs="Calibri"/>
        </w:rPr>
        <w:t xml:space="preserve">on-regulatory tools would not be </w:t>
      </w:r>
      <w:r>
        <w:rPr>
          <w:rFonts w:cs="Calibri"/>
        </w:rPr>
        <w:t>enacted</w:t>
      </w:r>
      <w:r w:rsidRPr="003A409C">
        <w:rPr>
          <w:rFonts w:cs="Calibri"/>
        </w:rPr>
        <w:t xml:space="preserve"> by an amendment to the Code. </w:t>
      </w:r>
    </w:p>
    <w:p w14:paraId="40BB1F55" w14:textId="1B416357" w:rsidR="00700A3D" w:rsidRDefault="00700A3D" w:rsidP="0062121C">
      <w:pPr>
        <w:rPr>
          <w:rFonts w:cs="Calibri"/>
        </w:rPr>
      </w:pPr>
      <w:r>
        <w:rPr>
          <w:rFonts w:cs="Calibri"/>
        </w:rPr>
        <w:t xml:space="preserve">The proposed regulatory tools are further explained below, including their </w:t>
      </w:r>
      <w:r w:rsidR="00031EB9">
        <w:rPr>
          <w:rFonts w:cs="Calibri"/>
        </w:rPr>
        <w:t xml:space="preserve">current </w:t>
      </w:r>
      <w:r>
        <w:rPr>
          <w:rFonts w:cs="Calibri"/>
        </w:rPr>
        <w:t xml:space="preserve">context, </w:t>
      </w:r>
      <w:r w:rsidR="00031EB9">
        <w:rPr>
          <w:rFonts w:cs="Calibri"/>
        </w:rPr>
        <w:t>and</w:t>
      </w:r>
      <w:r>
        <w:rPr>
          <w:rFonts w:cs="Calibri"/>
        </w:rPr>
        <w:t xml:space="preserve"> expected benefits </w:t>
      </w:r>
      <w:r w:rsidRPr="009B6B3D">
        <w:rPr>
          <w:rFonts w:cs="Calibri"/>
        </w:rPr>
        <w:t xml:space="preserve">and </w:t>
      </w:r>
      <w:r w:rsidRPr="003A409C">
        <w:rPr>
          <w:rFonts w:cs="Calibri"/>
        </w:rPr>
        <w:t xml:space="preserve">implementation issues identified by the FSM WG (see </w:t>
      </w:r>
      <w:r w:rsidR="00CC6D14" w:rsidRPr="003A409C">
        <w:rPr>
          <w:rFonts w:cs="Calibri"/>
        </w:rPr>
        <w:t>A</w:t>
      </w:r>
      <w:r w:rsidRPr="003A409C">
        <w:rPr>
          <w:rFonts w:cs="Calibri"/>
        </w:rPr>
        <w:t>ppendix 2.4). A summary of key points is provided in Table 3.</w:t>
      </w:r>
    </w:p>
    <w:p w14:paraId="65ADE21C" w14:textId="77777777" w:rsidR="00700A3D" w:rsidRDefault="00700A3D" w:rsidP="00031EB9">
      <w:pPr>
        <w:keepNext/>
        <w:rPr>
          <w:b/>
          <w:i/>
        </w:rPr>
      </w:pPr>
      <w:r>
        <w:rPr>
          <w:b/>
          <w:i/>
        </w:rPr>
        <w:t xml:space="preserve">Table </w:t>
      </w:r>
      <w:r>
        <w:rPr>
          <w:b/>
          <w:i/>
        </w:rPr>
        <w:fldChar w:fldCharType="begin"/>
      </w:r>
      <w:r>
        <w:rPr>
          <w:b/>
          <w:i/>
        </w:rPr>
        <w:instrText xml:space="preserve"> SEQ Table \* ARABIC </w:instrText>
      </w:r>
      <w:r>
        <w:rPr>
          <w:b/>
          <w:i/>
        </w:rPr>
        <w:fldChar w:fldCharType="separate"/>
      </w:r>
      <w:r>
        <w:rPr>
          <w:b/>
          <w:i/>
          <w:noProof/>
        </w:rPr>
        <w:t>3</w:t>
      </w:r>
      <w:r>
        <w:rPr>
          <w:b/>
          <w:i/>
        </w:rPr>
        <w:fldChar w:fldCharType="end"/>
      </w:r>
      <w:r>
        <w:rPr>
          <w:b/>
          <w:i/>
        </w:rPr>
        <w:t>: Summary of regulatory food safety management tools proposed by Ministers</w:t>
      </w:r>
    </w:p>
    <w:tbl>
      <w:tblPr>
        <w:tblStyle w:val="TableGrid"/>
        <w:tblW w:w="0" w:type="auto"/>
        <w:tblLook w:val="04A0" w:firstRow="1" w:lastRow="0" w:firstColumn="1" w:lastColumn="0" w:noHBand="0" w:noVBand="1"/>
      </w:tblPr>
      <w:tblGrid>
        <w:gridCol w:w="1696"/>
        <w:gridCol w:w="2552"/>
        <w:gridCol w:w="2672"/>
        <w:gridCol w:w="2140"/>
      </w:tblGrid>
      <w:tr w:rsidR="00700A3D" w14:paraId="0AFEE9E0" w14:textId="77777777" w:rsidTr="00700A3D">
        <w:trPr>
          <w:cantSplit/>
        </w:trPr>
        <w:tc>
          <w:tcPr>
            <w:tcW w:w="169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C82B08" w14:textId="77777777" w:rsidR="00700A3D" w:rsidRDefault="00700A3D">
            <w:pPr>
              <w:pStyle w:val="FSTableColumnRowheading"/>
              <w:spacing w:before="94" w:after="94"/>
              <w:rPr>
                <w:lang w:val="en-AU"/>
              </w:rPr>
            </w:pPr>
            <w:r>
              <w:rPr>
                <w:lang w:val="en-AU"/>
              </w:rPr>
              <w:t>Management tool</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27AA19" w14:textId="77777777" w:rsidR="00700A3D" w:rsidRDefault="00700A3D">
            <w:pPr>
              <w:pStyle w:val="TableText"/>
              <w:spacing w:before="94" w:after="94"/>
              <w:rPr>
                <w:b/>
              </w:rPr>
            </w:pPr>
            <w:r>
              <w:rPr>
                <w:b/>
              </w:rPr>
              <w:t>Food safety training for all food handlers</w:t>
            </w:r>
          </w:p>
        </w:tc>
        <w:tc>
          <w:tcPr>
            <w:tcW w:w="26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B552E8" w14:textId="77777777" w:rsidR="00700A3D" w:rsidRDefault="00700A3D">
            <w:pPr>
              <w:pStyle w:val="TableText"/>
              <w:spacing w:before="94" w:after="94"/>
              <w:rPr>
                <w:b/>
              </w:rPr>
            </w:pPr>
            <w:r>
              <w:rPr>
                <w:b/>
              </w:rPr>
              <w:t>Certified FSS</w:t>
            </w:r>
          </w:p>
        </w:tc>
        <w:tc>
          <w:tcPr>
            <w:tcW w:w="214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3A4F3E" w14:textId="207AB4BF" w:rsidR="00700A3D" w:rsidRDefault="000D0AB4">
            <w:pPr>
              <w:pStyle w:val="TableText"/>
              <w:spacing w:before="94" w:after="94"/>
              <w:rPr>
                <w:b/>
              </w:rPr>
            </w:pPr>
            <w:r>
              <w:rPr>
                <w:b/>
              </w:rPr>
              <w:t>Evidence</w:t>
            </w:r>
            <w:r w:rsidR="00700A3D">
              <w:rPr>
                <w:b/>
              </w:rPr>
              <w:t xml:space="preserve"> of controls</w:t>
            </w:r>
          </w:p>
        </w:tc>
      </w:tr>
      <w:tr w:rsidR="00700A3D" w14:paraId="0A524700" w14:textId="77777777" w:rsidTr="00700A3D">
        <w:trPr>
          <w:cantSplit/>
          <w:trHeight w:val="1940"/>
        </w:trPr>
        <w:tc>
          <w:tcPr>
            <w:tcW w:w="169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5EDC83" w14:textId="77777777" w:rsidR="00700A3D" w:rsidRPr="003F0323" w:rsidRDefault="00700A3D">
            <w:pPr>
              <w:pStyle w:val="FSTableColumnRowheading"/>
              <w:spacing w:before="94" w:after="94"/>
              <w:rPr>
                <w:lang w:val="en-AU"/>
              </w:rPr>
            </w:pPr>
            <w:r w:rsidRPr="003F0323">
              <w:rPr>
                <w:noProof/>
                <w:lang w:val="en-AU"/>
              </w:rPr>
              <w:t xml:space="preserve">Likely benefits (FSM WG) </w:t>
            </w:r>
          </w:p>
        </w:tc>
        <w:tc>
          <w:tcPr>
            <w:tcW w:w="2552" w:type="dxa"/>
            <w:tcBorders>
              <w:top w:val="single" w:sz="4" w:space="0" w:color="auto"/>
              <w:left w:val="single" w:sz="4" w:space="0" w:color="auto"/>
              <w:bottom w:val="single" w:sz="4" w:space="0" w:color="auto"/>
              <w:right w:val="single" w:sz="4" w:space="0" w:color="auto"/>
            </w:tcBorders>
            <w:hideMark/>
          </w:tcPr>
          <w:p w14:paraId="023E78E4" w14:textId="53A59BEC" w:rsidR="00700A3D" w:rsidRDefault="00283A01">
            <w:pPr>
              <w:pStyle w:val="TableText"/>
              <w:spacing w:before="94" w:after="94"/>
            </w:pPr>
            <w:r>
              <w:t xml:space="preserve">base </w:t>
            </w:r>
            <w:r w:rsidR="00700A3D">
              <w:t>level of information, increased awareness, less supervision</w:t>
            </w:r>
          </w:p>
        </w:tc>
        <w:tc>
          <w:tcPr>
            <w:tcW w:w="2672" w:type="dxa"/>
            <w:tcBorders>
              <w:top w:val="single" w:sz="4" w:space="0" w:color="auto"/>
              <w:left w:val="single" w:sz="4" w:space="0" w:color="auto"/>
              <w:bottom w:val="single" w:sz="4" w:space="0" w:color="auto"/>
              <w:right w:val="single" w:sz="4" w:space="0" w:color="auto"/>
            </w:tcBorders>
            <w:hideMark/>
          </w:tcPr>
          <w:p w14:paraId="31B07A80" w14:textId="77777777" w:rsidR="00700A3D" w:rsidRDefault="00700A3D">
            <w:pPr>
              <w:pStyle w:val="TableText"/>
              <w:spacing w:before="94" w:after="94"/>
            </w:pPr>
            <w:r>
              <w:t>FSS has an important role in imparting skills and knowledge, improving awareness of foodborne illness and its impacts, and fostering a positive food safety culture</w:t>
            </w:r>
          </w:p>
        </w:tc>
        <w:tc>
          <w:tcPr>
            <w:tcW w:w="2140" w:type="dxa"/>
            <w:tcBorders>
              <w:top w:val="single" w:sz="4" w:space="0" w:color="auto"/>
              <w:left w:val="single" w:sz="4" w:space="0" w:color="auto"/>
              <w:bottom w:val="single" w:sz="4" w:space="0" w:color="auto"/>
              <w:right w:val="single" w:sz="4" w:space="0" w:color="auto"/>
            </w:tcBorders>
            <w:hideMark/>
          </w:tcPr>
          <w:p w14:paraId="5A5858C4" w14:textId="77777777" w:rsidR="00700A3D" w:rsidRDefault="00700A3D">
            <w:pPr>
              <w:pStyle w:val="TableText"/>
              <w:spacing w:before="94" w:after="94"/>
            </w:pPr>
            <w:r>
              <w:t>enables monitoring, detection of issues, helps to demonstrate compliance</w:t>
            </w:r>
          </w:p>
        </w:tc>
      </w:tr>
      <w:tr w:rsidR="00700A3D" w14:paraId="1329AF94" w14:textId="77777777" w:rsidTr="00700A3D">
        <w:trPr>
          <w:cantSplit/>
          <w:trHeight w:val="1427"/>
        </w:trPr>
        <w:tc>
          <w:tcPr>
            <w:tcW w:w="169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7A7EC7" w14:textId="77777777" w:rsidR="00700A3D" w:rsidRPr="003F0323" w:rsidRDefault="00700A3D">
            <w:pPr>
              <w:pStyle w:val="FSTableColumnRowheading"/>
              <w:spacing w:before="94" w:after="94"/>
              <w:rPr>
                <w:lang w:val="en-AU"/>
              </w:rPr>
            </w:pPr>
            <w:r w:rsidRPr="003F0323">
              <w:rPr>
                <w:lang w:val="en-AU"/>
              </w:rPr>
              <w:t xml:space="preserve">Implementation issues </w:t>
            </w:r>
          </w:p>
          <w:p w14:paraId="235E5F7A" w14:textId="77777777" w:rsidR="00700A3D" w:rsidRPr="003F0323" w:rsidRDefault="00700A3D">
            <w:pPr>
              <w:pStyle w:val="FSTableColumnRowheading"/>
              <w:spacing w:before="94" w:after="94"/>
              <w:rPr>
                <w:lang w:val="en-AU"/>
              </w:rPr>
            </w:pPr>
            <w:r w:rsidRPr="003F0323">
              <w:rPr>
                <w:lang w:val="en-AU"/>
              </w:rPr>
              <w:t>(FSM WG)</w:t>
            </w:r>
          </w:p>
        </w:tc>
        <w:tc>
          <w:tcPr>
            <w:tcW w:w="2552" w:type="dxa"/>
            <w:tcBorders>
              <w:top w:val="single" w:sz="4" w:space="0" w:color="auto"/>
              <w:left w:val="single" w:sz="4" w:space="0" w:color="auto"/>
              <w:bottom w:val="single" w:sz="4" w:space="0" w:color="auto"/>
              <w:right w:val="single" w:sz="4" w:space="0" w:color="auto"/>
            </w:tcBorders>
            <w:hideMark/>
          </w:tcPr>
          <w:p w14:paraId="76819439" w14:textId="77777777" w:rsidR="00700A3D" w:rsidRDefault="00700A3D">
            <w:pPr>
              <w:pStyle w:val="TableText"/>
              <w:spacing w:before="94" w:after="94"/>
            </w:pPr>
            <w:r>
              <w:t>resource sharing/ promotion, training frequency, culturally diverse/rural needs</w:t>
            </w:r>
          </w:p>
        </w:tc>
        <w:tc>
          <w:tcPr>
            <w:tcW w:w="2672" w:type="dxa"/>
            <w:tcBorders>
              <w:top w:val="single" w:sz="4" w:space="0" w:color="auto"/>
              <w:left w:val="single" w:sz="4" w:space="0" w:color="auto"/>
              <w:bottom w:val="single" w:sz="4" w:space="0" w:color="auto"/>
              <w:right w:val="single" w:sz="4" w:space="0" w:color="auto"/>
            </w:tcBorders>
            <w:hideMark/>
          </w:tcPr>
          <w:p w14:paraId="642044CB" w14:textId="77777777" w:rsidR="00700A3D" w:rsidRDefault="00700A3D">
            <w:pPr>
              <w:pStyle w:val="TableText"/>
              <w:spacing w:before="94" w:after="94"/>
            </w:pPr>
            <w:r>
              <w:t>certification currency, FSS coverage within business, regulation of registered training organisations</w:t>
            </w:r>
          </w:p>
        </w:tc>
        <w:tc>
          <w:tcPr>
            <w:tcW w:w="2140" w:type="dxa"/>
            <w:tcBorders>
              <w:top w:val="single" w:sz="4" w:space="0" w:color="auto"/>
              <w:left w:val="single" w:sz="4" w:space="0" w:color="auto"/>
              <w:bottom w:val="single" w:sz="4" w:space="0" w:color="auto"/>
              <w:right w:val="single" w:sz="4" w:space="0" w:color="auto"/>
            </w:tcBorders>
            <w:hideMark/>
          </w:tcPr>
          <w:p w14:paraId="44FC03C6" w14:textId="2421DDB3" w:rsidR="00700A3D" w:rsidRDefault="00700A3D" w:rsidP="001B6BEB">
            <w:pPr>
              <w:pStyle w:val="TableText"/>
              <w:keepNext/>
              <w:spacing w:before="94" w:after="94"/>
            </w:pPr>
            <w:r>
              <w:t xml:space="preserve">identification of controls needing </w:t>
            </w:r>
            <w:r w:rsidR="001B6BEB">
              <w:t>evidence</w:t>
            </w:r>
            <w:r>
              <w:t>, example templates</w:t>
            </w:r>
          </w:p>
        </w:tc>
      </w:tr>
    </w:tbl>
    <w:p w14:paraId="414182C7" w14:textId="77777777" w:rsidR="00700A3D" w:rsidRDefault="00700A3D" w:rsidP="00700A3D">
      <w:pPr>
        <w:pStyle w:val="Caption"/>
        <w:rPr>
          <w:color w:val="auto"/>
        </w:rPr>
      </w:pPr>
      <w:r>
        <w:rPr>
          <w:color w:val="auto"/>
        </w:rPr>
        <w:t>FSM WG is the Food Safety Management Working Group</w:t>
      </w:r>
    </w:p>
    <w:p w14:paraId="0942E71C" w14:textId="77777777" w:rsidR="00700A3D" w:rsidRDefault="00700A3D" w:rsidP="00700A3D">
      <w:pPr>
        <w:pStyle w:val="Heading2"/>
      </w:pPr>
      <w:bookmarkStart w:id="14" w:name="_Toc33094515"/>
      <w:r>
        <w:t>4.1</w:t>
      </w:r>
      <w:r>
        <w:tab/>
        <w:t>Regulated food safety training for all food handlers</w:t>
      </w:r>
      <w:bookmarkEnd w:id="14"/>
    </w:p>
    <w:p w14:paraId="66A8D657" w14:textId="77777777" w:rsidR="00700A3D" w:rsidRDefault="00700A3D" w:rsidP="00700A3D">
      <w:pPr>
        <w:rPr>
          <w:rFonts w:cs="Calibri"/>
          <w:b/>
        </w:rPr>
      </w:pPr>
      <w:r>
        <w:rPr>
          <w:rFonts w:cs="Calibri"/>
          <w:b/>
        </w:rPr>
        <w:t xml:space="preserve">Current situation </w:t>
      </w:r>
    </w:p>
    <w:p w14:paraId="7633B825" w14:textId="77777777" w:rsidR="00700A3D" w:rsidRPr="003F0323" w:rsidRDefault="00700A3D" w:rsidP="0062121C">
      <w:r>
        <w:t xml:space="preserve">The Code requires food businesses to ensure persons undertaking or supervising food handling operations have skills and knowledge in food safety and food hygiene matters commensurate with their work activities (Standard 3.2.2 clause 3). There are no specific training requirements. However, in practice, a food handler would typically complete some </w:t>
      </w:r>
      <w:r w:rsidRPr="003F0323">
        <w:t>form of training to acquire the appropriate skills and knowledge.</w:t>
      </w:r>
    </w:p>
    <w:p w14:paraId="392C5CE7" w14:textId="77777777" w:rsidR="00700A3D" w:rsidRPr="003F0323" w:rsidRDefault="00700A3D" w:rsidP="00700A3D">
      <w:pPr>
        <w:keepNext/>
        <w:rPr>
          <w:b/>
        </w:rPr>
      </w:pPr>
      <w:r w:rsidRPr="003F0323">
        <w:rPr>
          <w:b/>
        </w:rPr>
        <w:t xml:space="preserve">Regulatory measure </w:t>
      </w:r>
    </w:p>
    <w:p w14:paraId="75F4CE53" w14:textId="77777777" w:rsidR="00700A3D" w:rsidRPr="003F0323" w:rsidRDefault="00700A3D" w:rsidP="0062121C">
      <w:pPr>
        <w:rPr>
          <w:b/>
        </w:rPr>
      </w:pPr>
      <w:r w:rsidRPr="003F0323">
        <w:t>Ministers’ proposal is that in-scope businesses would require their food handlers to have completed food handler training to demonstrate the skills and knowledge requirements in Standard 3.2.2 clause 3.</w:t>
      </w:r>
    </w:p>
    <w:p w14:paraId="4B9C4023" w14:textId="77777777" w:rsidR="00700A3D" w:rsidRPr="003F0323" w:rsidRDefault="00700A3D" w:rsidP="00700A3D">
      <w:pPr>
        <w:keepNext/>
        <w:rPr>
          <w:b/>
        </w:rPr>
      </w:pPr>
      <w:r w:rsidRPr="003F0323">
        <w:rPr>
          <w:b/>
        </w:rPr>
        <w:lastRenderedPageBreak/>
        <w:t xml:space="preserve">Likely benefits </w:t>
      </w:r>
    </w:p>
    <w:p w14:paraId="44554D77" w14:textId="77777777" w:rsidR="00700A3D" w:rsidRPr="003F0323" w:rsidRDefault="00700A3D" w:rsidP="0062121C">
      <w:r w:rsidRPr="003F0323">
        <w:t xml:space="preserve">The FSM WG proposed that mandated food handler learning programs would ensure all food handler employees receive consistent and relevant information.  </w:t>
      </w:r>
    </w:p>
    <w:p w14:paraId="1789A467" w14:textId="77777777" w:rsidR="00700A3D" w:rsidRPr="003F0323" w:rsidRDefault="00700A3D" w:rsidP="0062121C">
      <w:r w:rsidRPr="003F0323">
        <w:t xml:space="preserve">Regulated food safety training is expected to: </w:t>
      </w:r>
    </w:p>
    <w:p w14:paraId="1674B28D" w14:textId="77777777" w:rsidR="00700A3D" w:rsidRPr="003F0323" w:rsidRDefault="00700A3D" w:rsidP="0062121C">
      <w:pPr>
        <w:pStyle w:val="ListParagraph"/>
        <w:numPr>
          <w:ilvl w:val="0"/>
          <w:numId w:val="22"/>
        </w:numPr>
      </w:pPr>
      <w:r w:rsidRPr="003F0323">
        <w:t>provide a base level of information on key areas of skills and knowledge, supporting requirements in Standard 3.2.2</w:t>
      </w:r>
    </w:p>
    <w:p w14:paraId="15F2885E" w14:textId="77777777" w:rsidR="00700A3D" w:rsidRDefault="00700A3D" w:rsidP="0062121C">
      <w:pPr>
        <w:pStyle w:val="ListParagraph"/>
        <w:numPr>
          <w:ilvl w:val="0"/>
          <w:numId w:val="22"/>
        </w:numPr>
      </w:pPr>
      <w:r>
        <w:t>increase awareness of the importance of, and techniques for, safe food handling</w:t>
      </w:r>
    </w:p>
    <w:p w14:paraId="14663A05" w14:textId="77777777" w:rsidR="00700A3D" w:rsidRDefault="00700A3D" w:rsidP="0062121C">
      <w:pPr>
        <w:pStyle w:val="ListParagraph"/>
        <w:numPr>
          <w:ilvl w:val="0"/>
          <w:numId w:val="22"/>
        </w:numPr>
      </w:pPr>
      <w:r>
        <w:t xml:space="preserve">reduce the need for close supervision </w:t>
      </w:r>
    </w:p>
    <w:p w14:paraId="30CC8A50" w14:textId="09E94A90" w:rsidR="00700A3D" w:rsidRDefault="00700A3D" w:rsidP="0062121C">
      <w:pPr>
        <w:pStyle w:val="ListParagraph"/>
        <w:numPr>
          <w:ilvl w:val="0"/>
          <w:numId w:val="22"/>
        </w:numPr>
      </w:pPr>
      <w:r>
        <w:t>supplement information from supervisors or peers</w:t>
      </w:r>
      <w:r w:rsidR="00D60E2A">
        <w:t>.</w:t>
      </w:r>
      <w:r>
        <w:t xml:space="preserve"> </w:t>
      </w:r>
    </w:p>
    <w:p w14:paraId="31E2F741" w14:textId="77777777" w:rsidR="00700A3D" w:rsidRDefault="00700A3D" w:rsidP="00700A3D">
      <w:pPr>
        <w:keepNext/>
        <w:rPr>
          <w:b/>
        </w:rPr>
      </w:pPr>
      <w:r>
        <w:rPr>
          <w:b/>
        </w:rPr>
        <w:t xml:space="preserve">Implementation issues </w:t>
      </w:r>
    </w:p>
    <w:p w14:paraId="6B344A6F" w14:textId="77777777" w:rsidR="00700A3D" w:rsidRDefault="00700A3D" w:rsidP="0062121C">
      <w:r>
        <w:t>Issues identified include:</w:t>
      </w:r>
    </w:p>
    <w:p w14:paraId="50186BA6" w14:textId="77777777" w:rsidR="00700A3D" w:rsidRDefault="00700A3D" w:rsidP="0062121C">
      <w:pPr>
        <w:pStyle w:val="ListParagraph"/>
        <w:numPr>
          <w:ilvl w:val="0"/>
          <w:numId w:val="23"/>
        </w:numPr>
      </w:pPr>
      <w:r>
        <w:t xml:space="preserve">promotion and sharing of existing resources </w:t>
      </w:r>
    </w:p>
    <w:p w14:paraId="53E6ABBA" w14:textId="77777777" w:rsidR="00700A3D" w:rsidRDefault="00700A3D" w:rsidP="0062121C">
      <w:pPr>
        <w:pStyle w:val="ListParagraph"/>
        <w:numPr>
          <w:ilvl w:val="0"/>
          <w:numId w:val="23"/>
        </w:numPr>
      </w:pPr>
      <w:r>
        <w:t xml:space="preserve">use of online training ‘DoFoodSafely’ and ‘I’m Alert’ </w:t>
      </w:r>
    </w:p>
    <w:p w14:paraId="5356D20A" w14:textId="77777777" w:rsidR="00700A3D" w:rsidRDefault="00700A3D" w:rsidP="0062121C">
      <w:pPr>
        <w:pStyle w:val="ListParagraph"/>
        <w:numPr>
          <w:ilvl w:val="0"/>
          <w:numId w:val="23"/>
        </w:numPr>
      </w:pPr>
      <w:r>
        <w:t xml:space="preserve">frequency of training </w:t>
      </w:r>
    </w:p>
    <w:p w14:paraId="44C4B0CF" w14:textId="58016541" w:rsidR="00700A3D" w:rsidRDefault="00700A3D" w:rsidP="0062121C">
      <w:pPr>
        <w:pStyle w:val="ListParagraph"/>
        <w:numPr>
          <w:ilvl w:val="0"/>
          <w:numId w:val="23"/>
        </w:numPr>
      </w:pPr>
      <w:r>
        <w:t>catering for culturally diverse and rural employees</w:t>
      </w:r>
    </w:p>
    <w:p w14:paraId="48BFD39C" w14:textId="77777777" w:rsidR="00700A3D" w:rsidRDefault="00700A3D" w:rsidP="00700A3D">
      <w:pPr>
        <w:pStyle w:val="Heading2"/>
      </w:pPr>
      <w:bookmarkStart w:id="15" w:name="_Toc33094516"/>
      <w:r>
        <w:t>4.2</w:t>
      </w:r>
      <w:r>
        <w:tab/>
        <w:t>Certified food safety supervisor</w:t>
      </w:r>
      <w:bookmarkEnd w:id="15"/>
      <w:r>
        <w:t xml:space="preserve"> </w:t>
      </w:r>
    </w:p>
    <w:p w14:paraId="0225DC6B" w14:textId="77777777" w:rsidR="00700A3D" w:rsidRDefault="00700A3D" w:rsidP="00700A3D">
      <w:pPr>
        <w:keepNext/>
        <w:rPr>
          <w:b/>
        </w:rPr>
      </w:pPr>
      <w:r>
        <w:rPr>
          <w:b/>
        </w:rPr>
        <w:t>Current situation</w:t>
      </w:r>
    </w:p>
    <w:p w14:paraId="0185B90F" w14:textId="77777777" w:rsidR="00700A3D" w:rsidRDefault="00700A3D" w:rsidP="0062121C">
      <w:r>
        <w:t xml:space="preserve">The Code does not currently include requirements for any businesses to have a FSS. Four jurisdictions have implemented their own FSS requirements for some in-scope businesses. </w:t>
      </w:r>
    </w:p>
    <w:p w14:paraId="0219332C" w14:textId="77777777" w:rsidR="00700A3D" w:rsidRDefault="00700A3D" w:rsidP="00700A3D">
      <w:pPr>
        <w:keepNext/>
        <w:rPr>
          <w:b/>
        </w:rPr>
      </w:pPr>
      <w:r>
        <w:rPr>
          <w:b/>
        </w:rPr>
        <w:t xml:space="preserve">Regulatory measure </w:t>
      </w:r>
    </w:p>
    <w:p w14:paraId="1BCCC45F" w14:textId="77777777" w:rsidR="00700A3D" w:rsidRDefault="00700A3D" w:rsidP="0062121C">
      <w:pPr>
        <w:rPr>
          <w:b/>
        </w:rPr>
      </w:pPr>
      <w:r>
        <w:t xml:space="preserve">Ministers’ proposal is that in-scope businesses would be required to have at least one FSS certified. Certification would require successful completion of training that is competency verified (i.e. including formal assessment). </w:t>
      </w:r>
    </w:p>
    <w:p w14:paraId="1996295E" w14:textId="77777777" w:rsidR="00700A3D" w:rsidRDefault="00700A3D" w:rsidP="00700A3D">
      <w:pPr>
        <w:rPr>
          <w:b/>
        </w:rPr>
      </w:pPr>
      <w:r>
        <w:rPr>
          <w:b/>
        </w:rPr>
        <w:t>Expected benefits</w:t>
      </w:r>
    </w:p>
    <w:p w14:paraId="30BDC84A" w14:textId="77777777" w:rsidR="00700A3D" w:rsidRPr="003F0323" w:rsidRDefault="00700A3D" w:rsidP="0062121C">
      <w:r>
        <w:t xml:space="preserve">FSSs are trained to recognise and prevent risks associated with food handling in a retail food business. Although all personnel have a responsibility to handle food safely and must have the skills and knowledge relevant to their food duties, the FSS needs to understand the </w:t>
      </w:r>
      <w:r w:rsidRPr="003F0323">
        <w:t>overall food safety processes of the business as it applies to all staff.</w:t>
      </w:r>
    </w:p>
    <w:p w14:paraId="7BB98580" w14:textId="77777777" w:rsidR="00700A3D" w:rsidRDefault="00700A3D" w:rsidP="0062121C">
      <w:r w:rsidRPr="003F0323">
        <w:t>The FSM WG proposed that FSSs would impart relevant skills and knowledge to other staff and strengthen food safety culture (through improving food safety behaviour and increasing business’s commitment to managing food safety risks). The aim of a FSS is to prevent consumers from becoming ill from incorrect handling</w:t>
      </w:r>
      <w:r>
        <w:t xml:space="preserve"> and preparation of food. </w:t>
      </w:r>
    </w:p>
    <w:p w14:paraId="1743740E" w14:textId="77777777" w:rsidR="00700A3D" w:rsidRDefault="00700A3D" w:rsidP="0062121C">
      <w:pPr>
        <w:rPr>
          <w:vertAlign w:val="superscript"/>
        </w:rPr>
      </w:pPr>
      <w:r>
        <w:t>Studies have assessed whether there is any correlation between the presence of suitably trained and certified supervisors and critical food safety violations, as well as foodborne illness risk factors. Although results are mixed, they suggest that having a certified person on site can help reduce critical violations that could have resulted in foodborne illness, at least in certain circumstances (Cates et al. 2009; Kassa et al. 2010).</w:t>
      </w:r>
      <w:r>
        <w:rPr>
          <w:vertAlign w:val="superscript"/>
        </w:rPr>
        <w:t xml:space="preserve"> </w:t>
      </w:r>
    </w:p>
    <w:p w14:paraId="11C7F237" w14:textId="6061CEA1" w:rsidR="00700A3D" w:rsidRDefault="00700A3D" w:rsidP="0062121C">
      <w:r>
        <w:t>Stakeholder consultations (through the FSM WG) indicated stakeholders generally saw existing jurisdictional FSS requirements resulted in some improvements in food safety.</w:t>
      </w:r>
    </w:p>
    <w:p w14:paraId="3EA3D324" w14:textId="77777777" w:rsidR="00700A3D" w:rsidRDefault="00700A3D" w:rsidP="00700A3D">
      <w:pPr>
        <w:rPr>
          <w:b/>
        </w:rPr>
      </w:pPr>
      <w:r>
        <w:rPr>
          <w:b/>
        </w:rPr>
        <w:t>Implementation issues</w:t>
      </w:r>
    </w:p>
    <w:p w14:paraId="2DE7D788" w14:textId="77777777" w:rsidR="00700A3D" w:rsidRDefault="00700A3D" w:rsidP="0062121C">
      <w:r>
        <w:t xml:space="preserve">Issues identified include: </w:t>
      </w:r>
    </w:p>
    <w:p w14:paraId="324452E0" w14:textId="77777777" w:rsidR="00700A3D" w:rsidRDefault="00700A3D" w:rsidP="0062121C">
      <w:pPr>
        <w:pStyle w:val="ListParagraph"/>
        <w:numPr>
          <w:ilvl w:val="0"/>
          <w:numId w:val="24"/>
        </w:numPr>
      </w:pPr>
      <w:r>
        <w:t>length of certification currency</w:t>
      </w:r>
    </w:p>
    <w:p w14:paraId="022C2662" w14:textId="77777777" w:rsidR="00700A3D" w:rsidRDefault="00700A3D" w:rsidP="0062121C">
      <w:pPr>
        <w:pStyle w:val="ListParagraph"/>
        <w:numPr>
          <w:ilvl w:val="0"/>
          <w:numId w:val="24"/>
        </w:numPr>
      </w:pPr>
      <w:r>
        <w:t>adequate coverage of FSS within a business</w:t>
      </w:r>
    </w:p>
    <w:p w14:paraId="666AF08A" w14:textId="59D7AE94" w:rsidR="003D1BD9" w:rsidRPr="003D1BD9" w:rsidRDefault="00700A3D" w:rsidP="003057FA">
      <w:pPr>
        <w:pStyle w:val="ListParagraph"/>
        <w:numPr>
          <w:ilvl w:val="0"/>
          <w:numId w:val="24"/>
        </w:numPr>
        <w:spacing w:before="0" w:after="0"/>
        <w:rPr>
          <w:rFonts w:eastAsiaTheme="majorEastAsia" w:cs="Arial"/>
          <w:b/>
          <w:bCs/>
          <w:sz w:val="28"/>
        </w:rPr>
      </w:pPr>
      <w:r>
        <w:t>regulation of registered training organisations</w:t>
      </w:r>
      <w:r w:rsidR="00D60E2A">
        <w:t>.</w:t>
      </w:r>
      <w:bookmarkStart w:id="16" w:name="_Toc33094517"/>
      <w:r w:rsidR="003D1BD9">
        <w:br w:type="page"/>
      </w:r>
    </w:p>
    <w:p w14:paraId="2A6709B6" w14:textId="6312E1BD" w:rsidR="00700A3D" w:rsidRDefault="00700A3D" w:rsidP="00700A3D">
      <w:pPr>
        <w:pStyle w:val="Heading2"/>
      </w:pPr>
      <w:r>
        <w:lastRenderedPageBreak/>
        <w:t>4.3</w:t>
      </w:r>
      <w:r>
        <w:tab/>
        <w:t>Evidence of essential control measures</w:t>
      </w:r>
      <w:bookmarkEnd w:id="16"/>
      <w:r>
        <w:t xml:space="preserve"> </w:t>
      </w:r>
    </w:p>
    <w:p w14:paraId="4DEC4C87" w14:textId="77777777" w:rsidR="00700A3D" w:rsidRDefault="00700A3D" w:rsidP="00700A3D">
      <w:pPr>
        <w:rPr>
          <w:b/>
        </w:rPr>
      </w:pPr>
      <w:r>
        <w:rPr>
          <w:b/>
        </w:rPr>
        <w:t>Current situation</w:t>
      </w:r>
    </w:p>
    <w:p w14:paraId="7D40C6D5" w14:textId="64F0CB0B" w:rsidR="00700A3D" w:rsidRDefault="00700A3D" w:rsidP="0062121C">
      <w:r>
        <w:t>Standard 3.2.2 outlines bas</w:t>
      </w:r>
      <w:r w:rsidR="00951327">
        <w:t>e-</w:t>
      </w:r>
      <w:r>
        <w:t xml:space="preserve">level food safety requirements to be satisfied at each step of the food handling process. This </w:t>
      </w:r>
      <w:r w:rsidR="00951327">
        <w:t xml:space="preserve">standard </w:t>
      </w:r>
      <w:r>
        <w:t xml:space="preserve">provides a food business </w:t>
      </w:r>
      <w:r w:rsidR="00283A01">
        <w:t xml:space="preserve">with </w:t>
      </w:r>
      <w:r>
        <w:t xml:space="preserve">the basis for identifying key risks and activities </w:t>
      </w:r>
      <w:r w:rsidR="00951327">
        <w:t>that</w:t>
      </w:r>
      <w:r>
        <w:t xml:space="preserve"> need to be managed to ensure safe food. While keeping </w:t>
      </w:r>
      <w:r w:rsidR="00906AA4">
        <w:t xml:space="preserve">documentation or other </w:t>
      </w:r>
      <w:r>
        <w:t>evidence is not mandated, Safe Food Australia notes that businesses may find it useful to monitor and record the management outcome of these steps (e.g. PHF stored at 5</w:t>
      </w:r>
      <w:r>
        <w:rPr>
          <w:vertAlign w:val="superscript"/>
        </w:rPr>
        <w:t>o</w:t>
      </w:r>
      <w:r>
        <w:t xml:space="preserve">C). </w:t>
      </w:r>
    </w:p>
    <w:p w14:paraId="3918D9E2" w14:textId="77777777" w:rsidR="00700A3D" w:rsidRDefault="00700A3D" w:rsidP="00951327">
      <w:pPr>
        <w:keepNext/>
        <w:rPr>
          <w:b/>
        </w:rPr>
      </w:pPr>
      <w:r>
        <w:rPr>
          <w:b/>
        </w:rPr>
        <w:t>Regulatory measure</w:t>
      </w:r>
    </w:p>
    <w:p w14:paraId="096B7A5D" w14:textId="452FA903" w:rsidR="00700A3D" w:rsidRDefault="00951327" w:rsidP="0062121C">
      <w:r>
        <w:t>Ministers</w:t>
      </w:r>
      <w:r w:rsidR="00700A3D">
        <w:t xml:space="preserve"> propose that in-scope businesses keep, and be able to demonstrate, evidence to support the management of key activities </w:t>
      </w:r>
      <w:r>
        <w:t>that</w:t>
      </w:r>
      <w:r w:rsidR="00700A3D">
        <w:t xml:space="preserve"> are essential to producing and maintaining safe food.</w:t>
      </w:r>
    </w:p>
    <w:p w14:paraId="7B41EB4B" w14:textId="77777777" w:rsidR="00700A3D" w:rsidRDefault="00700A3D" w:rsidP="0062121C">
      <w:r>
        <w:t>The four broad areas critical to food safety are:</w:t>
      </w:r>
    </w:p>
    <w:p w14:paraId="2AEC8E37" w14:textId="77777777" w:rsidR="00700A3D" w:rsidRDefault="00700A3D" w:rsidP="0062121C">
      <w:pPr>
        <w:pStyle w:val="ListParagraph"/>
        <w:numPr>
          <w:ilvl w:val="0"/>
          <w:numId w:val="25"/>
        </w:numPr>
      </w:pPr>
      <w:r>
        <w:t>food processing (including the 2 hour/4 hour rule)</w:t>
      </w:r>
    </w:p>
    <w:p w14:paraId="50189218" w14:textId="77777777" w:rsidR="00700A3D" w:rsidRDefault="00700A3D" w:rsidP="0062121C">
      <w:pPr>
        <w:pStyle w:val="ListParagraph"/>
        <w:numPr>
          <w:ilvl w:val="0"/>
          <w:numId w:val="25"/>
        </w:numPr>
      </w:pPr>
      <w:r>
        <w:t>temperature control (including receipt of food, storage, cooking, cooling and display)</w:t>
      </w:r>
    </w:p>
    <w:p w14:paraId="59A992CF" w14:textId="77777777" w:rsidR="00700A3D" w:rsidRDefault="00700A3D" w:rsidP="0062121C">
      <w:pPr>
        <w:pStyle w:val="ListParagraph"/>
        <w:numPr>
          <w:ilvl w:val="0"/>
          <w:numId w:val="25"/>
        </w:numPr>
      </w:pPr>
      <w:r>
        <w:t>cleaning and sanitising</w:t>
      </w:r>
    </w:p>
    <w:p w14:paraId="59720536" w14:textId="613DEA03" w:rsidR="00700A3D" w:rsidRDefault="00700A3D" w:rsidP="0062121C">
      <w:pPr>
        <w:pStyle w:val="ListParagraph"/>
        <w:numPr>
          <w:ilvl w:val="0"/>
          <w:numId w:val="25"/>
        </w:numPr>
      </w:pPr>
      <w:r>
        <w:t>calibration and maintenance of equipment</w:t>
      </w:r>
      <w:r w:rsidR="00D60E2A">
        <w:t>.</w:t>
      </w:r>
    </w:p>
    <w:p w14:paraId="063EC5AF" w14:textId="0F9F8B82" w:rsidR="00700A3D" w:rsidRDefault="00700A3D" w:rsidP="0062121C">
      <w:r>
        <w:t>Some of the target businesses also engage in additional high-risk activities (e.g. sous vide, raw egg products). In these cases evidence should also be provided to demonstrate that the activity is well managed (e.g. monitoring pH or water activity). Ministers’ proposed requirement is distinct from a small-scale food safety program and targets the activities of the food business.</w:t>
      </w:r>
    </w:p>
    <w:p w14:paraId="31326E9E" w14:textId="77777777" w:rsidR="00700A3D" w:rsidRDefault="00700A3D" w:rsidP="00700A3D">
      <w:pPr>
        <w:keepNext/>
        <w:rPr>
          <w:b/>
        </w:rPr>
      </w:pPr>
      <w:r>
        <w:rPr>
          <w:b/>
        </w:rPr>
        <w:t>Expected benefits</w:t>
      </w:r>
    </w:p>
    <w:p w14:paraId="76CA6508" w14:textId="77777777" w:rsidR="00700A3D" w:rsidRDefault="00700A3D" w:rsidP="0062121C">
      <w:r>
        <w:t>The FSM WG proposed that keeping evidence would better enable businesses to monitor potential hazards, higher risk or critical safety activities, and to detect if safety parameters are breached. It would help the business make sure their process meets the specified requirement in the Code, and demonstrate compliance to an authorised officer if required.</w:t>
      </w:r>
    </w:p>
    <w:p w14:paraId="4D92E89B" w14:textId="77777777" w:rsidR="00700A3D" w:rsidRDefault="00700A3D" w:rsidP="00700A3D">
      <w:pPr>
        <w:rPr>
          <w:b/>
        </w:rPr>
      </w:pPr>
      <w:r>
        <w:rPr>
          <w:b/>
        </w:rPr>
        <w:t>Implementation issues</w:t>
      </w:r>
    </w:p>
    <w:p w14:paraId="17F25029" w14:textId="77777777" w:rsidR="00700A3D" w:rsidRDefault="00700A3D" w:rsidP="0062121C">
      <w:r>
        <w:t xml:space="preserve">Identified issues include: </w:t>
      </w:r>
    </w:p>
    <w:p w14:paraId="45FA042B" w14:textId="1EF1E9A4" w:rsidR="00700A3D" w:rsidRDefault="00700A3D" w:rsidP="0062121C">
      <w:pPr>
        <w:pStyle w:val="ListParagraph"/>
        <w:numPr>
          <w:ilvl w:val="0"/>
          <w:numId w:val="26"/>
        </w:numPr>
      </w:pPr>
      <w:r>
        <w:t xml:space="preserve">guidance for food business and </w:t>
      </w:r>
      <w:r w:rsidR="00D60E2A">
        <w:t>authorised officers</w:t>
      </w:r>
      <w:r>
        <w:t xml:space="preserve"> to identify key risks and control processes for which evidence would be required </w:t>
      </w:r>
    </w:p>
    <w:p w14:paraId="237EC635" w14:textId="1BC299DB" w:rsidR="00700A3D" w:rsidRDefault="00700A3D" w:rsidP="0062121C">
      <w:pPr>
        <w:pStyle w:val="ListParagraph"/>
        <w:numPr>
          <w:ilvl w:val="0"/>
          <w:numId w:val="26"/>
        </w:numPr>
      </w:pPr>
      <w:r>
        <w:t>provision of example templates.</w:t>
      </w:r>
    </w:p>
    <w:p w14:paraId="518697E6" w14:textId="350144CA" w:rsidR="00700A3D" w:rsidRPr="003F0323" w:rsidRDefault="00700A3D" w:rsidP="00700A3D">
      <w:pPr>
        <w:pStyle w:val="Heading1"/>
        <w:rPr>
          <w:lang w:val="en-AU"/>
        </w:rPr>
      </w:pPr>
      <w:bookmarkStart w:id="17" w:name="_Toc33094518"/>
      <w:r w:rsidRPr="003F0323">
        <w:rPr>
          <w:lang w:val="en-AU"/>
        </w:rPr>
        <w:t>5.</w:t>
      </w:r>
      <w:r w:rsidRPr="003F0323">
        <w:rPr>
          <w:lang w:val="en-AU"/>
        </w:rPr>
        <w:tab/>
      </w:r>
      <w:r w:rsidR="000D0AB4" w:rsidRPr="003F0323">
        <w:rPr>
          <w:lang w:val="en-AU"/>
        </w:rPr>
        <w:t>Assessing the proposed tools</w:t>
      </w:r>
      <w:bookmarkEnd w:id="17"/>
    </w:p>
    <w:p w14:paraId="337E38AF" w14:textId="00F01C32" w:rsidR="00700A3D" w:rsidRDefault="00700A3D" w:rsidP="0062121C">
      <w:r w:rsidRPr="003F0323">
        <w:t>In assessing whether to mandate additional nationally regulated food safety management tools, Proposal P1053 will consider the status quo, as well as a risk-based approach for applying the potential tools to in-scope businesses. The assessment will be in accordance with the FSANZ Act and the criteria set by that Act, including consideration of costs and benefits of proposed changes. Section 6.1 below list the assessment criteria that FSANZ must have regard to when assessing this Proposal. FSANZ will also refer to the work of the FSM WG where relevant to FSANZ’s assessment (see section 6.</w:t>
      </w:r>
      <w:r w:rsidR="00BF10AB" w:rsidRPr="003F0323">
        <w:t>1</w:t>
      </w:r>
      <w:r w:rsidRPr="003F0323">
        <w:t>.2 below).</w:t>
      </w:r>
    </w:p>
    <w:p w14:paraId="2A275F2C" w14:textId="77777777" w:rsidR="003D1BD9" w:rsidRDefault="003D1BD9">
      <w:pPr>
        <w:spacing w:before="0" w:after="0"/>
        <w:rPr>
          <w:rFonts w:eastAsiaTheme="majorEastAsia" w:cs="Arial"/>
          <w:b/>
          <w:bCs/>
          <w:sz w:val="28"/>
        </w:rPr>
      </w:pPr>
      <w:bookmarkStart w:id="18" w:name="_Toc23767222"/>
      <w:bookmarkStart w:id="19" w:name="_Toc426380922"/>
      <w:bookmarkStart w:id="20" w:name="_Toc426380891"/>
      <w:bookmarkStart w:id="21" w:name="_Toc426380826"/>
      <w:bookmarkStart w:id="22" w:name="_Toc33094519"/>
      <w:r>
        <w:br w:type="page"/>
      </w:r>
    </w:p>
    <w:p w14:paraId="0C515B28" w14:textId="0D41A36E" w:rsidR="00700A3D" w:rsidRDefault="00700A3D" w:rsidP="00700A3D">
      <w:pPr>
        <w:pStyle w:val="Heading2"/>
      </w:pPr>
      <w:r>
        <w:lastRenderedPageBreak/>
        <w:t>5.1 Status quo</w:t>
      </w:r>
      <w:bookmarkEnd w:id="18"/>
      <w:bookmarkEnd w:id="19"/>
      <w:bookmarkEnd w:id="20"/>
      <w:bookmarkEnd w:id="21"/>
      <w:bookmarkEnd w:id="22"/>
    </w:p>
    <w:p w14:paraId="2822CF3F" w14:textId="5635C29A" w:rsidR="00700A3D" w:rsidRDefault="00700A3D" w:rsidP="0062121C">
      <w:r>
        <w:t>When considering changes to regulation, the status quo must be a part of FSANZ’s assessment. For this Proposal, the status quo is that the current regulatory settings would continue</w:t>
      </w:r>
      <w:r w:rsidR="00D27F92">
        <w:t>. I</w:t>
      </w:r>
      <w:r>
        <w:t xml:space="preserve">f FSANZ’s assessment </w:t>
      </w:r>
      <w:r w:rsidR="00482773">
        <w:t xml:space="preserve">leads to the </w:t>
      </w:r>
      <w:r>
        <w:t xml:space="preserve">decision to retain the status quo, P1053 would be abandoned. </w:t>
      </w:r>
    </w:p>
    <w:p w14:paraId="5A7562D3" w14:textId="77777777" w:rsidR="00700A3D" w:rsidRDefault="00700A3D" w:rsidP="00700A3D">
      <w:pPr>
        <w:pStyle w:val="Heading2"/>
      </w:pPr>
      <w:bookmarkStart w:id="23" w:name="_Toc426380924"/>
      <w:bookmarkStart w:id="24" w:name="_Toc426380893"/>
      <w:bookmarkStart w:id="25" w:name="_Toc426380828"/>
      <w:bookmarkStart w:id="26" w:name="_Toc23767223"/>
      <w:bookmarkStart w:id="27" w:name="_Toc33094520"/>
      <w:r>
        <w:t xml:space="preserve">5.2 </w:t>
      </w:r>
      <w:bookmarkEnd w:id="23"/>
      <w:bookmarkEnd w:id="24"/>
      <w:bookmarkEnd w:id="25"/>
      <w:r>
        <w:t>Nationally regulated food safety management tools</w:t>
      </w:r>
      <w:bookmarkEnd w:id="26"/>
      <w:bookmarkEnd w:id="27"/>
    </w:p>
    <w:p w14:paraId="645D28AB" w14:textId="63FF1D5A" w:rsidR="00700A3D" w:rsidRDefault="00700A3D" w:rsidP="0062121C">
      <w:r>
        <w:t xml:space="preserve">This </w:t>
      </w:r>
      <w:r w:rsidR="001B6BEB">
        <w:t>alternative to the status quo</w:t>
      </w:r>
      <w:r w:rsidR="00A7530C">
        <w:t xml:space="preserve"> </w:t>
      </w:r>
      <w:r>
        <w:t xml:space="preserve">would involve amendment of the Code to mandate one or more of the three additional tools proposed by Ministers. </w:t>
      </w:r>
      <w:r w:rsidR="00126728" w:rsidRPr="00BF10AB">
        <w:t xml:space="preserve">FSANZ will take </w:t>
      </w:r>
      <w:r w:rsidRPr="00BF10AB">
        <w:t xml:space="preserve">a </w:t>
      </w:r>
      <w:r w:rsidR="00126728" w:rsidRPr="00BF10AB">
        <w:t>risk-based approach</w:t>
      </w:r>
      <w:r w:rsidRPr="00BF10AB">
        <w:t xml:space="preserve"> </w:t>
      </w:r>
      <w:r w:rsidR="00126728" w:rsidRPr="00BF10AB">
        <w:t>to</w:t>
      </w:r>
      <w:r w:rsidR="00180A85" w:rsidRPr="00BF10AB">
        <w:t xml:space="preserve"> </w:t>
      </w:r>
      <w:r w:rsidR="00A7530C" w:rsidRPr="00BF10AB">
        <w:t xml:space="preserve">assessing </w:t>
      </w:r>
      <w:r w:rsidR="00180A85" w:rsidRPr="00BF10AB">
        <w:t xml:space="preserve">which </w:t>
      </w:r>
      <w:r w:rsidRPr="00BF10AB">
        <w:t xml:space="preserve">businesses should be subject to </w:t>
      </w:r>
      <w:r w:rsidR="00126728" w:rsidRPr="00BF10AB">
        <w:t xml:space="preserve">which </w:t>
      </w:r>
      <w:r w:rsidRPr="00BF10AB">
        <w:t>mandatory regulatory measures, if enacted.</w:t>
      </w:r>
      <w:r>
        <w:t xml:space="preserve"> </w:t>
      </w:r>
    </w:p>
    <w:p w14:paraId="36882880" w14:textId="728ED612" w:rsidR="00A7530C" w:rsidRDefault="00700A3D" w:rsidP="0062121C">
      <w:r>
        <w:t>Section 1.2 lists the businesses in scope for this Proposal and its assessment. Each of the eight business sectors have been classified hig</w:t>
      </w:r>
      <w:r w:rsidRPr="003F0323">
        <w:t>h priority by the food regulatory system</w:t>
      </w:r>
      <w:r>
        <w:t xml:space="preserve"> using the national </w:t>
      </w:r>
      <w:r w:rsidR="00482773">
        <w:t>Risk Profiling Framework</w:t>
      </w:r>
      <w:r>
        <w:t xml:space="preserve">, with P1 businesses classified higher risk than P2 businesses. </w:t>
      </w:r>
    </w:p>
    <w:p w14:paraId="1CFB8771" w14:textId="632BE30B" w:rsidR="00700A3D" w:rsidRDefault="00700A3D" w:rsidP="0062121C">
      <w:r>
        <w:t>Given the two risk classifications, it may be appropriate to apply different tools or combinations of tools to the P1 and P2 businesses. An aim of our assessment is to determine the most appropriate regulatory response to manage the food safety risks effectively.</w:t>
      </w:r>
    </w:p>
    <w:p w14:paraId="7887C414" w14:textId="77777777" w:rsidR="00700A3D" w:rsidRDefault="00700A3D" w:rsidP="0062121C">
      <w:r>
        <w:t>In terms of the three tools proposed by Ministers, FSANZ notes the following:</w:t>
      </w:r>
    </w:p>
    <w:p w14:paraId="0B7A1ECB" w14:textId="63F2FDB2" w:rsidR="00700A3D" w:rsidRDefault="00FF40CD" w:rsidP="0062121C">
      <w:pPr>
        <w:pStyle w:val="ListParagraph"/>
        <w:numPr>
          <w:ilvl w:val="0"/>
          <w:numId w:val="27"/>
        </w:numPr>
      </w:pPr>
      <w:r>
        <w:t>T</w:t>
      </w:r>
      <w:r w:rsidR="00700A3D">
        <w:t>heir inclusion in the Code would ensure nationally consistent management of the businesses and risks to which they apply.</w:t>
      </w:r>
    </w:p>
    <w:p w14:paraId="66FBF808" w14:textId="77777777" w:rsidR="00700A3D" w:rsidRDefault="00700A3D" w:rsidP="0062121C">
      <w:pPr>
        <w:pStyle w:val="ListParagraph"/>
        <w:numPr>
          <w:ilvl w:val="0"/>
          <w:numId w:val="27"/>
        </w:numPr>
      </w:pPr>
      <w:r>
        <w:t>They appear to complement current requirements in Standard 3.2.2.</w:t>
      </w:r>
    </w:p>
    <w:p w14:paraId="6B674423" w14:textId="126B5C89" w:rsidR="00700A3D" w:rsidRDefault="00700A3D" w:rsidP="0062121C">
      <w:pPr>
        <w:pStyle w:val="ListParagraph"/>
        <w:numPr>
          <w:ilvl w:val="0"/>
          <w:numId w:val="27"/>
        </w:numPr>
      </w:pPr>
      <w:r>
        <w:t>They would not be as onerous as the HACCP-based requirements of Standard 3.2.1, which require food safety programs.</w:t>
      </w:r>
    </w:p>
    <w:p w14:paraId="3BC99E8E" w14:textId="77777777" w:rsidR="00D47D24" w:rsidRDefault="00D47D24" w:rsidP="00D47D24">
      <w:pPr>
        <w:pStyle w:val="ListParagraph"/>
      </w:pPr>
    </w:p>
    <w:p w14:paraId="73ADEEDE" w14:textId="34E58C6D" w:rsidR="00700A3D" w:rsidRPr="004B5CAB" w:rsidRDefault="00700A3D" w:rsidP="00700A3D">
      <w:r w:rsidRPr="004B5CAB">
        <w:rPr>
          <w:noProof/>
          <w:lang w:eastAsia="en-GB"/>
        </w:rPr>
        <mc:AlternateContent>
          <mc:Choice Requires="wps">
            <w:drawing>
              <wp:inline distT="0" distB="0" distL="0" distR="0" wp14:anchorId="332CCB06" wp14:editId="4E2A5974">
                <wp:extent cx="5759450" cy="3876675"/>
                <wp:effectExtent l="0" t="0" r="1270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876675"/>
                        </a:xfrm>
                        <a:prstGeom prst="rect">
                          <a:avLst/>
                        </a:prstGeom>
                        <a:solidFill>
                          <a:schemeClr val="bg1">
                            <a:lumMod val="95000"/>
                            <a:lumOff val="0"/>
                          </a:schemeClr>
                        </a:solidFill>
                        <a:ln w="6350">
                          <a:solidFill>
                            <a:srgbClr val="000000"/>
                          </a:solidFill>
                          <a:miter lim="800000"/>
                          <a:headEnd/>
                          <a:tailEnd/>
                        </a:ln>
                      </wps:spPr>
                      <wps:txbx>
                        <w:txbxContent>
                          <w:p w14:paraId="736AA731" w14:textId="7E66A979" w:rsidR="00C32887" w:rsidRDefault="00C32887" w:rsidP="00700A3D">
                            <w:pPr>
                              <w:rPr>
                                <w:b/>
                                <w:sz w:val="20"/>
                                <w:szCs w:val="20"/>
                              </w:rPr>
                            </w:pPr>
                            <w:r w:rsidRPr="00806BBA">
                              <w:rPr>
                                <w:b/>
                                <w:sz w:val="20"/>
                                <w:szCs w:val="20"/>
                              </w:rPr>
                              <w:t xml:space="preserve">FSANZ welcomes comments on each of the three food safety management tools proposed by Ministers and their impact (positive and negative) on each of the in-scope business sectors (section 1.2) to help inform the assessment.  </w:t>
                            </w:r>
                          </w:p>
                          <w:p w14:paraId="438084B0" w14:textId="3E93DBE5" w:rsidR="00C32887" w:rsidRPr="00806BBA" w:rsidRDefault="00C32887" w:rsidP="00700A3D">
                            <w:pPr>
                              <w:rPr>
                                <w:b/>
                                <w:sz w:val="20"/>
                                <w:szCs w:val="20"/>
                              </w:rPr>
                            </w:pPr>
                            <w:r w:rsidRPr="004B5CAB">
                              <w:rPr>
                                <w:b/>
                                <w:sz w:val="20"/>
                                <w:szCs w:val="20"/>
                              </w:rPr>
                              <w:t>Do you consider that adoption of the proposed food safety management tools will improve food safety outcomes and red</w:t>
                            </w:r>
                            <w:r>
                              <w:rPr>
                                <w:b/>
                                <w:sz w:val="20"/>
                                <w:szCs w:val="20"/>
                              </w:rPr>
                              <w:t>u</w:t>
                            </w:r>
                            <w:r w:rsidRPr="004B5CAB">
                              <w:rPr>
                                <w:b/>
                                <w:sz w:val="20"/>
                                <w:szCs w:val="20"/>
                              </w:rPr>
                              <w:t>ce the incidence of foodborne incidence? Please provide the reasons for your view.</w:t>
                            </w:r>
                          </w:p>
                          <w:p w14:paraId="5D9CFECE" w14:textId="0B084A38" w:rsidR="00C32887" w:rsidRPr="00806BBA" w:rsidRDefault="00C32887" w:rsidP="00700A3D">
                            <w:pPr>
                              <w:rPr>
                                <w:sz w:val="20"/>
                                <w:szCs w:val="20"/>
                              </w:rPr>
                            </w:pPr>
                            <w:r w:rsidRPr="00806BBA">
                              <w:rPr>
                                <w:sz w:val="20"/>
                                <w:szCs w:val="20"/>
                              </w:rPr>
                              <w:t xml:space="preserve">Additional submissions would be welcome from businesses who have implemented the following tools (as described in section 4):   </w:t>
                            </w:r>
                          </w:p>
                          <w:p w14:paraId="422756B0" w14:textId="77777777" w:rsidR="00C32887" w:rsidRPr="00806BBA" w:rsidRDefault="00C32887" w:rsidP="00700A3D">
                            <w:pPr>
                              <w:rPr>
                                <w:sz w:val="20"/>
                                <w:szCs w:val="20"/>
                              </w:rPr>
                            </w:pPr>
                            <w:r w:rsidRPr="00806BBA">
                              <w:rPr>
                                <w:sz w:val="20"/>
                                <w:szCs w:val="20"/>
                              </w:rPr>
                              <w:t xml:space="preserve">Food handler training: </w:t>
                            </w:r>
                          </w:p>
                          <w:p w14:paraId="7A356E1C" w14:textId="77777777" w:rsidR="00C32887" w:rsidRPr="00806BBA" w:rsidRDefault="00C32887" w:rsidP="0062121C">
                            <w:pPr>
                              <w:pStyle w:val="ListParagraph"/>
                              <w:numPr>
                                <w:ilvl w:val="0"/>
                                <w:numId w:val="8"/>
                              </w:numPr>
                              <w:rPr>
                                <w:sz w:val="20"/>
                                <w:szCs w:val="20"/>
                              </w:rPr>
                            </w:pPr>
                            <w:r w:rsidRPr="00806BBA">
                              <w:rPr>
                                <w:sz w:val="20"/>
                                <w:szCs w:val="20"/>
                              </w:rPr>
                              <w:t>Are there constraints that prevent businesses and employees from accessing particular/ preferred methods and modes of training?</w:t>
                            </w:r>
                          </w:p>
                          <w:p w14:paraId="6ECE0FA5" w14:textId="7C76740B" w:rsidR="00C32887" w:rsidRPr="00806BBA" w:rsidRDefault="00C32887" w:rsidP="0062121C">
                            <w:pPr>
                              <w:pStyle w:val="ListParagraph"/>
                              <w:numPr>
                                <w:ilvl w:val="0"/>
                                <w:numId w:val="9"/>
                              </w:numPr>
                              <w:rPr>
                                <w:sz w:val="20"/>
                                <w:szCs w:val="20"/>
                              </w:rPr>
                            </w:pPr>
                            <w:r w:rsidRPr="00806BBA">
                              <w:rPr>
                                <w:sz w:val="20"/>
                                <w:szCs w:val="20"/>
                              </w:rPr>
                              <w:t>Is the general food handler training currently available from the jurisdictions’ food regulatory agencies (e.g. I’m Alert and DoFoodSafely) adequate in providing a base level of food safety knowledge?</w:t>
                            </w:r>
                          </w:p>
                          <w:p w14:paraId="0390CCCD" w14:textId="77777777" w:rsidR="00C32887" w:rsidRPr="00806BBA" w:rsidRDefault="00C32887" w:rsidP="00FF40CD">
                            <w:pPr>
                              <w:rPr>
                                <w:sz w:val="20"/>
                                <w:szCs w:val="20"/>
                              </w:rPr>
                            </w:pPr>
                            <w:r w:rsidRPr="00806BBA">
                              <w:rPr>
                                <w:sz w:val="20"/>
                                <w:szCs w:val="20"/>
                              </w:rPr>
                              <w:t xml:space="preserve">Food safety supervisor: </w:t>
                            </w:r>
                          </w:p>
                          <w:p w14:paraId="650D98BB" w14:textId="16CEE91F" w:rsidR="00C32887" w:rsidRPr="00806BBA" w:rsidRDefault="00C32887" w:rsidP="0062121C">
                            <w:pPr>
                              <w:pStyle w:val="ListParagraph"/>
                              <w:numPr>
                                <w:ilvl w:val="0"/>
                                <w:numId w:val="7"/>
                              </w:numPr>
                              <w:rPr>
                                <w:sz w:val="20"/>
                                <w:szCs w:val="20"/>
                              </w:rPr>
                            </w:pPr>
                            <w:r w:rsidRPr="00806BBA">
                              <w:rPr>
                                <w:sz w:val="20"/>
                                <w:szCs w:val="20"/>
                              </w:rPr>
                              <w:t>Has the presence of a food safety supervisor reduced incidences of food handling errors?</w:t>
                            </w:r>
                          </w:p>
                          <w:p w14:paraId="2E46DD02" w14:textId="77777777" w:rsidR="00C32887" w:rsidRPr="00806BBA" w:rsidRDefault="00C32887" w:rsidP="00FF40CD">
                            <w:pPr>
                              <w:rPr>
                                <w:sz w:val="20"/>
                                <w:szCs w:val="20"/>
                              </w:rPr>
                            </w:pPr>
                            <w:r w:rsidRPr="00806BBA">
                              <w:rPr>
                                <w:sz w:val="20"/>
                                <w:szCs w:val="20"/>
                              </w:rPr>
                              <w:t xml:space="preserve">Evidence of managing activities essential for food safety: </w:t>
                            </w:r>
                          </w:p>
                          <w:p w14:paraId="6F9957A9" w14:textId="77777777" w:rsidR="00C32887" w:rsidRPr="00806BBA" w:rsidRDefault="00C32887" w:rsidP="0062121C">
                            <w:pPr>
                              <w:pStyle w:val="ListParagraph"/>
                              <w:numPr>
                                <w:ilvl w:val="0"/>
                                <w:numId w:val="7"/>
                              </w:numPr>
                              <w:rPr>
                                <w:sz w:val="20"/>
                                <w:szCs w:val="20"/>
                              </w:rPr>
                            </w:pPr>
                            <w:r w:rsidRPr="00806BBA">
                              <w:rPr>
                                <w:sz w:val="20"/>
                                <w:szCs w:val="20"/>
                              </w:rPr>
                              <w:t>Have you found it assists with monitoring risks and prompting corrective actions?</w:t>
                            </w:r>
                          </w:p>
                          <w:p w14:paraId="68C4E89A" w14:textId="77777777" w:rsidR="00C32887" w:rsidRPr="00806BBA" w:rsidRDefault="00C32887" w:rsidP="0062121C">
                            <w:pPr>
                              <w:pStyle w:val="ListParagraph"/>
                              <w:numPr>
                                <w:ilvl w:val="0"/>
                                <w:numId w:val="7"/>
                              </w:numPr>
                              <w:rPr>
                                <w:sz w:val="20"/>
                                <w:szCs w:val="20"/>
                              </w:rPr>
                            </w:pPr>
                            <w:r w:rsidRPr="00806BBA">
                              <w:rPr>
                                <w:sz w:val="20"/>
                                <w:szCs w:val="20"/>
                              </w:rPr>
                              <w:t xml:space="preserve">Have you found keeping evidence time consuming? </w:t>
                            </w:r>
                          </w:p>
                          <w:p w14:paraId="651C3FAC" w14:textId="77777777" w:rsidR="00C32887" w:rsidRPr="00806BBA" w:rsidRDefault="00C32887" w:rsidP="0062121C">
                            <w:pPr>
                              <w:pStyle w:val="ListParagraph"/>
                              <w:numPr>
                                <w:ilvl w:val="0"/>
                                <w:numId w:val="7"/>
                              </w:numPr>
                              <w:rPr>
                                <w:sz w:val="20"/>
                                <w:szCs w:val="20"/>
                              </w:rPr>
                            </w:pPr>
                            <w:r w:rsidRPr="00806BBA">
                              <w:rPr>
                                <w:sz w:val="20"/>
                                <w:szCs w:val="20"/>
                              </w:rPr>
                              <w:t>Are templates easily accessible and appropriate for your business?</w:t>
                            </w:r>
                          </w:p>
                          <w:p w14:paraId="1AD20F0C" w14:textId="77777777" w:rsidR="00C32887" w:rsidRDefault="00C32887" w:rsidP="00FF40CD"/>
                          <w:p w14:paraId="674ED49D" w14:textId="77777777" w:rsidR="00C32887" w:rsidRDefault="00C32887" w:rsidP="00FF40CD"/>
                          <w:p w14:paraId="723B274C" w14:textId="77777777" w:rsidR="00C32887" w:rsidRDefault="00C32887" w:rsidP="00700A3D">
                            <w:r>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32CCB06" id="Text Box 4" o:spid="_x0000_s1028" type="#_x0000_t202" style="width:453.5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aqSgIAAI4EAAAOAAAAZHJzL2Uyb0RvYy54bWysVNtu2zAMfR+wfxD0vjhJczXiFF26DgO6&#10;C9DuA2RZtoVJoiYpsbOvLyUnWba+DXsxJJI6PDwkvbnttSIH4bwEU9DJaEyJMBwqaZqCfn9+eLei&#10;xAdmKqbAiIIehae327dvNp3NxRRaUJVwBEGMzztb0DYEm2eZ563QzI/ACoPOGpxmAa+uySrHOkTX&#10;KpuOx4usA1dZB1x4j9b7wUm3Cb+uBQ9f69qLQFRBkVtIX5e+Zfxm2w3LG8dsK/mJBvsHFppJg0kv&#10;UPcsMLJ38hWUltyBhzqMOOgM6lpykWrAaibjv6p5apkVqRYUx9uLTP7/wfIvh2+OyKqgM0oM09ii&#10;Z9EH8h56MovqdNbnGPRkMSz0aMYup0q9fQT+wxMDu5aZRtw5B10rWIXsJvFldvV0wPERpOw+Q4Vp&#10;2D5AAuprp6N0KAZBdOzS8dKZSIWjcb6cr2dzdHH03ayWi8VynnKw/PzcOh8+CtAkHgrqsPUJnh0e&#10;fYh0WH4Oidk8KFk9SKXSJY6b2ClHDgwHpWyGEtVeI9fBtp6Px6dxQTMO1WBOJoROAxsRUqI/wJUh&#10;XUEXN0j/dWLXlJe0mOCUIwJe89My4JYoqQu6ugSxPKr9wVRphgOTajjjY2VO8kfFB+1DX/apz9Nz&#10;V0uojtgPB8NS4BLjoQX3i5IOF6Kg/ueeOUGJ+mSwp+vJbBY3KF1m8+UUL+7aU157mOEIVdBAyXDc&#10;hWHr9tbJpsVMg8QG7nAOapk6FAdmYHWij0Of9DwtaNyq63uK+v0b2b4AAAD//wMAUEsDBBQABgAI&#10;AAAAIQCXWZyx3AAAAAUBAAAPAAAAZHJzL2Rvd25yZXYueG1sTI/NTsMwEITvSLyDtUjcqF1+0hDi&#10;VIDUC5QDaQ49uvGSBOJ1FLtt+vYsXOAy0mhWM9/my8n14oBj6DxpmM8UCKTa244aDdVmdZWCCNGQ&#10;Nb0n1HDCAMvi/Cw3mfVHesdDGRvBJRQyo6GNccikDHWLzoSZH5A4+/CjM5Ht2Eg7miOXu15eK5VI&#10;ZzrihdYM+Nxi/VXunYbb8ullVZ9eE1u9pTepW2+rz2mr9eXF9PgAIuIU/47hB5/RoWCmnd+TDaLX&#10;wI/EX+XsXi3Y7jQkc3UHssjlf/riGwAA//8DAFBLAQItABQABgAIAAAAIQC2gziS/gAAAOEBAAAT&#10;AAAAAAAAAAAAAAAAAAAAAABbQ29udGVudF9UeXBlc10ueG1sUEsBAi0AFAAGAAgAAAAhADj9If/W&#10;AAAAlAEAAAsAAAAAAAAAAAAAAAAALwEAAF9yZWxzLy5yZWxzUEsBAi0AFAAGAAgAAAAhAEpAxqpK&#10;AgAAjgQAAA4AAAAAAAAAAAAAAAAALgIAAGRycy9lMm9Eb2MueG1sUEsBAi0AFAAGAAgAAAAhAJdZ&#10;nLHcAAAABQEAAA8AAAAAAAAAAAAAAAAApAQAAGRycy9kb3ducmV2LnhtbFBLBQYAAAAABAAEAPMA&#10;AACtBQAAAAA=&#10;" fillcolor="#f2f2f2 [3052]" strokeweight=".5pt">
                <v:textbox>
                  <w:txbxContent>
                    <w:p w14:paraId="736AA731" w14:textId="7E66A979" w:rsidR="00C32887" w:rsidRDefault="00C32887" w:rsidP="00700A3D">
                      <w:pPr>
                        <w:rPr>
                          <w:b/>
                          <w:sz w:val="20"/>
                          <w:szCs w:val="20"/>
                        </w:rPr>
                      </w:pPr>
                      <w:r w:rsidRPr="00806BBA">
                        <w:rPr>
                          <w:b/>
                          <w:sz w:val="20"/>
                          <w:szCs w:val="20"/>
                        </w:rPr>
                        <w:t xml:space="preserve">FSANZ welcomes comments on each of the three food safety management tools proposed by Ministers and their impact (positive and negative) on each of the in-scope business sectors (section 1.2) to help inform the assessment.  </w:t>
                      </w:r>
                    </w:p>
                    <w:p w14:paraId="438084B0" w14:textId="3E93DBE5" w:rsidR="00C32887" w:rsidRPr="00806BBA" w:rsidRDefault="00C32887" w:rsidP="00700A3D">
                      <w:pPr>
                        <w:rPr>
                          <w:b/>
                          <w:sz w:val="20"/>
                          <w:szCs w:val="20"/>
                        </w:rPr>
                      </w:pPr>
                      <w:r w:rsidRPr="004B5CAB">
                        <w:rPr>
                          <w:b/>
                          <w:sz w:val="20"/>
                          <w:szCs w:val="20"/>
                        </w:rPr>
                        <w:t>Do you consider that adoption of the proposed food safety management tools will improve food safety outcomes and red</w:t>
                      </w:r>
                      <w:r>
                        <w:rPr>
                          <w:b/>
                          <w:sz w:val="20"/>
                          <w:szCs w:val="20"/>
                        </w:rPr>
                        <w:t>u</w:t>
                      </w:r>
                      <w:r w:rsidRPr="004B5CAB">
                        <w:rPr>
                          <w:b/>
                          <w:sz w:val="20"/>
                          <w:szCs w:val="20"/>
                        </w:rPr>
                        <w:t>ce the incidence of foodborne incidence? Please provide the reasons for your view.</w:t>
                      </w:r>
                    </w:p>
                    <w:p w14:paraId="5D9CFECE" w14:textId="0B084A38" w:rsidR="00C32887" w:rsidRPr="00806BBA" w:rsidRDefault="00C32887" w:rsidP="00700A3D">
                      <w:pPr>
                        <w:rPr>
                          <w:sz w:val="20"/>
                          <w:szCs w:val="20"/>
                        </w:rPr>
                      </w:pPr>
                      <w:r w:rsidRPr="00806BBA">
                        <w:rPr>
                          <w:sz w:val="20"/>
                          <w:szCs w:val="20"/>
                        </w:rPr>
                        <w:t xml:space="preserve">Additional submissions would be welcome from businesses who have implemented the following tools (as described in section 4):   </w:t>
                      </w:r>
                    </w:p>
                    <w:p w14:paraId="422756B0" w14:textId="77777777" w:rsidR="00C32887" w:rsidRPr="00806BBA" w:rsidRDefault="00C32887" w:rsidP="00700A3D">
                      <w:pPr>
                        <w:rPr>
                          <w:sz w:val="20"/>
                          <w:szCs w:val="20"/>
                        </w:rPr>
                      </w:pPr>
                      <w:r w:rsidRPr="00806BBA">
                        <w:rPr>
                          <w:sz w:val="20"/>
                          <w:szCs w:val="20"/>
                        </w:rPr>
                        <w:t xml:space="preserve">Food handler training: </w:t>
                      </w:r>
                    </w:p>
                    <w:p w14:paraId="7A356E1C" w14:textId="77777777" w:rsidR="00C32887" w:rsidRPr="00806BBA" w:rsidRDefault="00C32887" w:rsidP="0062121C">
                      <w:pPr>
                        <w:pStyle w:val="ListParagraph"/>
                        <w:numPr>
                          <w:ilvl w:val="0"/>
                          <w:numId w:val="8"/>
                        </w:numPr>
                        <w:rPr>
                          <w:sz w:val="20"/>
                          <w:szCs w:val="20"/>
                        </w:rPr>
                      </w:pPr>
                      <w:r w:rsidRPr="00806BBA">
                        <w:rPr>
                          <w:sz w:val="20"/>
                          <w:szCs w:val="20"/>
                        </w:rPr>
                        <w:t>Are there constraints that prevent businesses and employees from accessing particular/ preferred methods and modes of training?</w:t>
                      </w:r>
                    </w:p>
                    <w:p w14:paraId="6ECE0FA5" w14:textId="7C76740B" w:rsidR="00C32887" w:rsidRPr="00806BBA" w:rsidRDefault="00C32887" w:rsidP="0062121C">
                      <w:pPr>
                        <w:pStyle w:val="ListParagraph"/>
                        <w:numPr>
                          <w:ilvl w:val="0"/>
                          <w:numId w:val="9"/>
                        </w:numPr>
                        <w:rPr>
                          <w:sz w:val="20"/>
                          <w:szCs w:val="20"/>
                        </w:rPr>
                      </w:pPr>
                      <w:r w:rsidRPr="00806BBA">
                        <w:rPr>
                          <w:sz w:val="20"/>
                          <w:szCs w:val="20"/>
                        </w:rPr>
                        <w:t>Is the general food handler training currently available from the jurisdictions’ food regulatory agencies (e.g. I’m Alert and DoFoodSafely) adequate in providing a base level of food safety knowledge?</w:t>
                      </w:r>
                    </w:p>
                    <w:p w14:paraId="0390CCCD" w14:textId="77777777" w:rsidR="00C32887" w:rsidRPr="00806BBA" w:rsidRDefault="00C32887" w:rsidP="00FF40CD">
                      <w:pPr>
                        <w:rPr>
                          <w:sz w:val="20"/>
                          <w:szCs w:val="20"/>
                        </w:rPr>
                      </w:pPr>
                      <w:r w:rsidRPr="00806BBA">
                        <w:rPr>
                          <w:sz w:val="20"/>
                          <w:szCs w:val="20"/>
                        </w:rPr>
                        <w:t xml:space="preserve">Food safety supervisor: </w:t>
                      </w:r>
                    </w:p>
                    <w:p w14:paraId="650D98BB" w14:textId="16CEE91F" w:rsidR="00C32887" w:rsidRPr="00806BBA" w:rsidRDefault="00C32887" w:rsidP="0062121C">
                      <w:pPr>
                        <w:pStyle w:val="ListParagraph"/>
                        <w:numPr>
                          <w:ilvl w:val="0"/>
                          <w:numId w:val="7"/>
                        </w:numPr>
                        <w:rPr>
                          <w:sz w:val="20"/>
                          <w:szCs w:val="20"/>
                        </w:rPr>
                      </w:pPr>
                      <w:r w:rsidRPr="00806BBA">
                        <w:rPr>
                          <w:sz w:val="20"/>
                          <w:szCs w:val="20"/>
                        </w:rPr>
                        <w:t>Has the presence of a food safety supervisor reduced incidences of food handling errors?</w:t>
                      </w:r>
                    </w:p>
                    <w:p w14:paraId="2E46DD02" w14:textId="77777777" w:rsidR="00C32887" w:rsidRPr="00806BBA" w:rsidRDefault="00C32887" w:rsidP="00FF40CD">
                      <w:pPr>
                        <w:rPr>
                          <w:sz w:val="20"/>
                          <w:szCs w:val="20"/>
                        </w:rPr>
                      </w:pPr>
                      <w:r w:rsidRPr="00806BBA">
                        <w:rPr>
                          <w:sz w:val="20"/>
                          <w:szCs w:val="20"/>
                        </w:rPr>
                        <w:t xml:space="preserve">Evidence of managing activities essential for food safety: </w:t>
                      </w:r>
                    </w:p>
                    <w:p w14:paraId="6F9957A9" w14:textId="77777777" w:rsidR="00C32887" w:rsidRPr="00806BBA" w:rsidRDefault="00C32887" w:rsidP="0062121C">
                      <w:pPr>
                        <w:pStyle w:val="ListParagraph"/>
                        <w:numPr>
                          <w:ilvl w:val="0"/>
                          <w:numId w:val="7"/>
                        </w:numPr>
                        <w:rPr>
                          <w:sz w:val="20"/>
                          <w:szCs w:val="20"/>
                        </w:rPr>
                      </w:pPr>
                      <w:r w:rsidRPr="00806BBA">
                        <w:rPr>
                          <w:sz w:val="20"/>
                          <w:szCs w:val="20"/>
                        </w:rPr>
                        <w:t>Have you found it assists with monitoring risks and prompting corrective actions?</w:t>
                      </w:r>
                    </w:p>
                    <w:p w14:paraId="68C4E89A" w14:textId="77777777" w:rsidR="00C32887" w:rsidRPr="00806BBA" w:rsidRDefault="00C32887" w:rsidP="0062121C">
                      <w:pPr>
                        <w:pStyle w:val="ListParagraph"/>
                        <w:numPr>
                          <w:ilvl w:val="0"/>
                          <w:numId w:val="7"/>
                        </w:numPr>
                        <w:rPr>
                          <w:sz w:val="20"/>
                          <w:szCs w:val="20"/>
                        </w:rPr>
                      </w:pPr>
                      <w:r w:rsidRPr="00806BBA">
                        <w:rPr>
                          <w:sz w:val="20"/>
                          <w:szCs w:val="20"/>
                        </w:rPr>
                        <w:t xml:space="preserve">Have you found keeping evidence time consuming? </w:t>
                      </w:r>
                    </w:p>
                    <w:p w14:paraId="651C3FAC" w14:textId="77777777" w:rsidR="00C32887" w:rsidRPr="00806BBA" w:rsidRDefault="00C32887" w:rsidP="0062121C">
                      <w:pPr>
                        <w:pStyle w:val="ListParagraph"/>
                        <w:numPr>
                          <w:ilvl w:val="0"/>
                          <w:numId w:val="7"/>
                        </w:numPr>
                        <w:rPr>
                          <w:sz w:val="20"/>
                          <w:szCs w:val="20"/>
                        </w:rPr>
                      </w:pPr>
                      <w:r w:rsidRPr="00806BBA">
                        <w:rPr>
                          <w:sz w:val="20"/>
                          <w:szCs w:val="20"/>
                        </w:rPr>
                        <w:t>Are templates easily accessible and appropriate for your business?</w:t>
                      </w:r>
                    </w:p>
                    <w:p w14:paraId="1AD20F0C" w14:textId="77777777" w:rsidR="00C32887" w:rsidRDefault="00C32887" w:rsidP="00FF40CD"/>
                    <w:p w14:paraId="674ED49D" w14:textId="77777777" w:rsidR="00C32887" w:rsidRDefault="00C32887" w:rsidP="00FF40CD"/>
                    <w:p w14:paraId="723B274C" w14:textId="77777777" w:rsidR="00C32887" w:rsidRDefault="00C32887" w:rsidP="00700A3D">
                      <w:r>
                        <w:rPr>
                          <w:b/>
                        </w:rPr>
                        <w:t xml:space="preserve"> </w:t>
                      </w:r>
                    </w:p>
                  </w:txbxContent>
                </v:textbox>
                <w10:anchorlock/>
              </v:shape>
            </w:pict>
          </mc:Fallback>
        </mc:AlternateContent>
      </w:r>
      <w:bookmarkStart w:id="28" w:name="_Toc28953771"/>
      <w:bookmarkStart w:id="29" w:name="_Toc27667550"/>
      <w:bookmarkStart w:id="30" w:name="_Toc29295999"/>
      <w:bookmarkStart w:id="31" w:name="_Toc29288667"/>
    </w:p>
    <w:p w14:paraId="72B1BA19" w14:textId="23039A1A" w:rsidR="00700A3D" w:rsidRDefault="00700A3D" w:rsidP="00700A3D">
      <w:pPr>
        <w:pStyle w:val="Heading1"/>
      </w:pPr>
      <w:bookmarkStart w:id="32" w:name="_Toc33094521"/>
      <w:r w:rsidRPr="004B5CAB">
        <w:lastRenderedPageBreak/>
        <w:t xml:space="preserve">6. Assessment </w:t>
      </w:r>
      <w:r w:rsidR="000D0AB4" w:rsidRPr="004B5CAB">
        <w:t>criteria</w:t>
      </w:r>
      <w:bookmarkEnd w:id="32"/>
    </w:p>
    <w:bookmarkEnd w:id="28"/>
    <w:bookmarkEnd w:id="29"/>
    <w:bookmarkEnd w:id="30"/>
    <w:bookmarkEnd w:id="31"/>
    <w:p w14:paraId="273D503D" w14:textId="09FB4872" w:rsidR="00700A3D" w:rsidRDefault="00700A3D" w:rsidP="0062121C">
      <w:r>
        <w:t xml:space="preserve">FSANZ must assess Proposal P1052, including the proposed additional tools, in accordance with the FSANZ Act. As explained below, this requires </w:t>
      </w:r>
      <w:r w:rsidR="006B33FC">
        <w:t xml:space="preserve">us </w:t>
      </w:r>
      <w:r>
        <w:t>to have regard to specific matters when making that assessment</w:t>
      </w:r>
      <w:r w:rsidRPr="0006578C">
        <w:t xml:space="preserve">. If </w:t>
      </w:r>
      <w:r w:rsidR="006B33FC" w:rsidRPr="0006578C">
        <w:t xml:space="preserve">our </w:t>
      </w:r>
      <w:r w:rsidRPr="0006578C">
        <w:t xml:space="preserve">assessment concludes that </w:t>
      </w:r>
      <w:r w:rsidR="00024EA2" w:rsidRPr="0006578C">
        <w:t xml:space="preserve">mandating </w:t>
      </w:r>
      <w:r w:rsidRPr="0006578C">
        <w:t xml:space="preserve">regulated food safety management tools is the preferred option, </w:t>
      </w:r>
      <w:r w:rsidR="00CC6D14" w:rsidRPr="0006578C">
        <w:t xml:space="preserve">under the </w:t>
      </w:r>
      <w:r w:rsidRPr="0006578C">
        <w:t xml:space="preserve">FSANZ Act </w:t>
      </w:r>
      <w:r w:rsidR="00CC6D14" w:rsidRPr="0006578C">
        <w:t xml:space="preserve">we are </w:t>
      </w:r>
      <w:r w:rsidRPr="0006578C">
        <w:t>require</w:t>
      </w:r>
      <w:r w:rsidR="00CC6D14" w:rsidRPr="0006578C">
        <w:t>d</w:t>
      </w:r>
      <w:r w:rsidRPr="0006578C">
        <w:t xml:space="preserve"> to publish a summary of </w:t>
      </w:r>
      <w:r w:rsidR="006B33FC" w:rsidRPr="0006578C">
        <w:t xml:space="preserve">our </w:t>
      </w:r>
      <w:r w:rsidRPr="0006578C">
        <w:t xml:space="preserve">assessment </w:t>
      </w:r>
      <w:r w:rsidR="006B33FC" w:rsidRPr="0006578C">
        <w:t>and</w:t>
      </w:r>
      <w:r w:rsidRPr="0006578C">
        <w:t xml:space="preserve"> draft variations</w:t>
      </w:r>
      <w:r>
        <w:t xml:space="preserve"> to the Code</w:t>
      </w:r>
      <w:r w:rsidR="006B33FC">
        <w:t>,</w:t>
      </w:r>
      <w:r>
        <w:t xml:space="preserve"> and seek public submissions on both. Those public submissions will inform </w:t>
      </w:r>
      <w:r w:rsidR="00196C30">
        <w:t>our</w:t>
      </w:r>
      <w:r>
        <w:t xml:space="preserve"> decision whether to approve or amend the draft amendments to the Code. </w:t>
      </w:r>
    </w:p>
    <w:p w14:paraId="763BF113" w14:textId="77777777" w:rsidR="00700A3D" w:rsidRDefault="00700A3D" w:rsidP="00700A3D">
      <w:pPr>
        <w:pStyle w:val="Heading2"/>
      </w:pPr>
      <w:bookmarkStart w:id="33" w:name="_Toc29296000"/>
      <w:bookmarkStart w:id="34" w:name="_Toc29288668"/>
      <w:bookmarkStart w:id="35" w:name="_Toc28953772"/>
      <w:bookmarkStart w:id="36" w:name="_Toc33094522"/>
      <w:r>
        <w:t xml:space="preserve">6.1 </w:t>
      </w:r>
      <w:bookmarkEnd w:id="33"/>
      <w:bookmarkEnd w:id="34"/>
      <w:bookmarkEnd w:id="35"/>
      <w:r>
        <w:t>Statutory assessment criteria</w:t>
      </w:r>
      <w:bookmarkEnd w:id="36"/>
    </w:p>
    <w:p w14:paraId="1E63B3C0" w14:textId="77777777" w:rsidR="00614431" w:rsidRDefault="00700A3D" w:rsidP="00614431">
      <w:pPr>
        <w:pStyle w:val="Heading3"/>
        <w:ind w:left="0" w:firstLine="0"/>
      </w:pPr>
      <w:bookmarkStart w:id="37" w:name="_Toc33094523"/>
      <w:r>
        <w:t xml:space="preserve">6.1.1 </w:t>
      </w:r>
      <w:r w:rsidR="00614431">
        <w:t>Section 59 considerations</w:t>
      </w:r>
      <w:bookmarkEnd w:id="37"/>
    </w:p>
    <w:p w14:paraId="71F384CB" w14:textId="77777777" w:rsidR="00614431" w:rsidRDefault="00614431" w:rsidP="0062121C">
      <w:r>
        <w:t xml:space="preserve">Section 59 of the FSANZ Act requires FSANZ to have regard to the following matters when </w:t>
      </w:r>
      <w:r w:rsidRPr="0006578C">
        <w:t>assessing Proposal P1053 and each of the three potential food safety management tools summarised above:</w:t>
      </w:r>
    </w:p>
    <w:p w14:paraId="263A5ADB" w14:textId="77777777" w:rsidR="00614431" w:rsidRDefault="00614431" w:rsidP="0062121C">
      <w:pPr>
        <w:pStyle w:val="ListParagraph"/>
        <w:numPr>
          <w:ilvl w:val="0"/>
          <w:numId w:val="28"/>
        </w:numPr>
      </w:pPr>
      <w:r>
        <w:t>whether costs that would arise from a food regulatory measure developed or varied through the Proposal outweigh the direct and indirect benefits to the community, government or industry that would arise from that measure</w:t>
      </w:r>
    </w:p>
    <w:p w14:paraId="27BC47D2" w14:textId="77777777" w:rsidR="00614431" w:rsidRDefault="00614431" w:rsidP="0062121C">
      <w:pPr>
        <w:pStyle w:val="ListParagraph"/>
        <w:numPr>
          <w:ilvl w:val="0"/>
          <w:numId w:val="28"/>
        </w:numPr>
      </w:pPr>
      <w:r>
        <w:t>whether other measures (whether available to FSANZ or not) would be more cost</w:t>
      </w:r>
      <w:r>
        <w:noBreakHyphen/>
        <w:t>effective and could achieve the same end</w:t>
      </w:r>
    </w:p>
    <w:p w14:paraId="7D1C08F8" w14:textId="77777777" w:rsidR="00614431" w:rsidRDefault="00614431" w:rsidP="0062121C">
      <w:pPr>
        <w:pStyle w:val="ListParagraph"/>
        <w:numPr>
          <w:ilvl w:val="0"/>
          <w:numId w:val="28"/>
        </w:numPr>
      </w:pPr>
      <w:r>
        <w:t xml:space="preserve">any relevant New Zealand standards </w:t>
      </w:r>
    </w:p>
    <w:p w14:paraId="37910F73" w14:textId="0237264C" w:rsidR="00614431" w:rsidRDefault="00614431" w:rsidP="0062121C">
      <w:pPr>
        <w:pStyle w:val="ListParagraph"/>
        <w:numPr>
          <w:ilvl w:val="0"/>
          <w:numId w:val="28"/>
        </w:numPr>
      </w:pPr>
      <w:r>
        <w:t>any other relevant matters (see section 6.1.2 below).</w:t>
      </w:r>
    </w:p>
    <w:p w14:paraId="7A63ABDB" w14:textId="77777777" w:rsidR="003D1BD9" w:rsidRDefault="003D1BD9" w:rsidP="003D1BD9">
      <w:pPr>
        <w:spacing w:before="0" w:after="0"/>
      </w:pPr>
    </w:p>
    <w:p w14:paraId="55812E92" w14:textId="7D7B3315" w:rsidR="00614431" w:rsidRDefault="00614431" w:rsidP="003D1BD9">
      <w:pPr>
        <w:spacing w:before="0" w:after="0"/>
      </w:pPr>
      <w:r>
        <w:t>Other relevant considerations for the purpose of FSANZ’s P1053 assessment include:</w:t>
      </w:r>
    </w:p>
    <w:p w14:paraId="57E47945" w14:textId="77777777" w:rsidR="00614431" w:rsidRDefault="00614431" w:rsidP="0062121C">
      <w:pPr>
        <w:pStyle w:val="ListParagraph"/>
        <w:numPr>
          <w:ilvl w:val="0"/>
          <w:numId w:val="29"/>
        </w:numPr>
      </w:pPr>
      <w:r>
        <w:t xml:space="preserve">the recommendations of the food safety management working group and </w:t>
      </w:r>
    </w:p>
    <w:p w14:paraId="730D2AEC" w14:textId="77777777" w:rsidR="00614431" w:rsidRDefault="00614431" w:rsidP="0062121C">
      <w:pPr>
        <w:pStyle w:val="ListParagraph"/>
        <w:numPr>
          <w:ilvl w:val="0"/>
          <w:numId w:val="29"/>
        </w:numPr>
      </w:pPr>
      <w:r>
        <w:t>the subsequent request by Ministers to consider the potential regulatory measures</w:t>
      </w:r>
      <w:r>
        <w:rPr>
          <w:rStyle w:val="FootnoteReference"/>
        </w:rPr>
        <w:footnoteReference w:id="8"/>
      </w:r>
      <w:r>
        <w:t xml:space="preserve">. </w:t>
      </w:r>
    </w:p>
    <w:p w14:paraId="0CA94EC8" w14:textId="77777777" w:rsidR="00614431" w:rsidRDefault="00614431" w:rsidP="0062121C">
      <w:r>
        <w:t>However, FSANZ is not bound by the working group recommendations or the Ministers’ request. While FSANZ must have regard to them during the assessment (to the extent that they are relevant), we must make our own independent assessment in accordance with the FSANZ Act.</w:t>
      </w:r>
    </w:p>
    <w:p w14:paraId="749C5997" w14:textId="49D6D7D8" w:rsidR="00700A3D" w:rsidRDefault="00614431" w:rsidP="00614431">
      <w:pPr>
        <w:pStyle w:val="Heading3"/>
        <w:ind w:left="0" w:firstLine="0"/>
      </w:pPr>
      <w:bookmarkStart w:id="38" w:name="_Toc33094524"/>
      <w:r>
        <w:t xml:space="preserve">6.1.2 </w:t>
      </w:r>
      <w:r w:rsidR="00700A3D">
        <w:t>Section 18 considerations</w:t>
      </w:r>
      <w:bookmarkEnd w:id="38"/>
    </w:p>
    <w:p w14:paraId="2D25E114" w14:textId="77777777" w:rsidR="00700A3D" w:rsidRDefault="00700A3D" w:rsidP="0062121C">
      <w:r>
        <w:t>Relevant matters include the matters listed in section 18 of the FSANZ Act. Section 18 requires FSANZ to have regard to specific objectives when developing food standards or amendments to the Code. The objectives (in descending order of priority) are:</w:t>
      </w:r>
    </w:p>
    <w:p w14:paraId="21389369" w14:textId="6F27216D" w:rsidR="00700A3D" w:rsidRDefault="00700A3D" w:rsidP="0062121C">
      <w:pPr>
        <w:pStyle w:val="ListParagraph"/>
        <w:numPr>
          <w:ilvl w:val="0"/>
          <w:numId w:val="30"/>
        </w:numPr>
      </w:pPr>
      <w:r>
        <w:t>the protection of public health and safety</w:t>
      </w:r>
    </w:p>
    <w:p w14:paraId="127BE024" w14:textId="4B3A4E3B" w:rsidR="00700A3D" w:rsidRDefault="00700A3D" w:rsidP="0062121C">
      <w:pPr>
        <w:pStyle w:val="ListParagraph"/>
        <w:numPr>
          <w:ilvl w:val="0"/>
          <w:numId w:val="30"/>
        </w:numPr>
      </w:pPr>
      <w:r>
        <w:t>the provision of adequate information relating to food to enable consumers to make informed choices</w:t>
      </w:r>
    </w:p>
    <w:p w14:paraId="35527303" w14:textId="77777777" w:rsidR="00700A3D" w:rsidRDefault="00700A3D" w:rsidP="0062121C">
      <w:pPr>
        <w:pStyle w:val="ListParagraph"/>
        <w:numPr>
          <w:ilvl w:val="0"/>
          <w:numId w:val="30"/>
        </w:numPr>
      </w:pPr>
      <w:r>
        <w:t>the prevention of misleading or deceptive conduct.</w:t>
      </w:r>
    </w:p>
    <w:p w14:paraId="1AC97B20" w14:textId="77777777" w:rsidR="003D1BD9" w:rsidRDefault="003D1BD9">
      <w:pPr>
        <w:spacing w:before="0" w:after="0"/>
      </w:pPr>
      <w:r>
        <w:br w:type="page"/>
      </w:r>
    </w:p>
    <w:p w14:paraId="3712FAD4" w14:textId="4C816340" w:rsidR="00700A3D" w:rsidRDefault="00700A3D" w:rsidP="0062121C">
      <w:r>
        <w:lastRenderedPageBreak/>
        <w:t>Section 18 also requires FSANZ to have regard to each of the following:</w:t>
      </w:r>
    </w:p>
    <w:p w14:paraId="6E2D6E74" w14:textId="2CBA2C76" w:rsidR="00700A3D" w:rsidRDefault="00700A3D" w:rsidP="0062121C">
      <w:pPr>
        <w:pStyle w:val="ListParagraph"/>
        <w:numPr>
          <w:ilvl w:val="0"/>
          <w:numId w:val="31"/>
        </w:numPr>
      </w:pPr>
      <w:r>
        <w:t>the need for standards to be based on risk analysis using the best available scientific evidence</w:t>
      </w:r>
    </w:p>
    <w:p w14:paraId="5FF3575E" w14:textId="56627DB0" w:rsidR="00700A3D" w:rsidRDefault="00700A3D" w:rsidP="0062121C">
      <w:pPr>
        <w:pStyle w:val="ListParagraph"/>
        <w:numPr>
          <w:ilvl w:val="0"/>
          <w:numId w:val="31"/>
        </w:numPr>
      </w:pPr>
      <w:r>
        <w:t>the promotion of consistency between domestic and international food standards</w:t>
      </w:r>
    </w:p>
    <w:p w14:paraId="156B9B79" w14:textId="7EF74F42" w:rsidR="00700A3D" w:rsidRDefault="00700A3D" w:rsidP="0062121C">
      <w:pPr>
        <w:pStyle w:val="ListParagraph"/>
        <w:numPr>
          <w:ilvl w:val="0"/>
          <w:numId w:val="31"/>
        </w:numPr>
      </w:pPr>
      <w:r>
        <w:t>the desirability of an efficient and internationally competitive food industry</w:t>
      </w:r>
    </w:p>
    <w:p w14:paraId="5C384121" w14:textId="77777777" w:rsidR="00700A3D" w:rsidRDefault="00700A3D" w:rsidP="0062121C">
      <w:pPr>
        <w:pStyle w:val="ListParagraph"/>
        <w:numPr>
          <w:ilvl w:val="0"/>
          <w:numId w:val="31"/>
        </w:numPr>
      </w:pPr>
      <w:r>
        <w:t xml:space="preserve">the promotion of fair trading in food </w:t>
      </w:r>
    </w:p>
    <w:p w14:paraId="05F88727" w14:textId="5167A655" w:rsidR="00700A3D" w:rsidRDefault="00700A3D" w:rsidP="0062121C">
      <w:pPr>
        <w:pStyle w:val="ListParagraph"/>
        <w:numPr>
          <w:ilvl w:val="0"/>
          <w:numId w:val="31"/>
        </w:numPr>
      </w:pPr>
      <w:r>
        <w:t>any relevant ministerial policy guidelines issued by the Forum expressly for the purposes of section 18. These ministerial guidelines are not binding on FSANZ. They remain one consideration among others that FSANZ must have rega</w:t>
      </w:r>
      <w:r w:rsidR="00482773">
        <w:t>rd to in making its assessment.</w:t>
      </w:r>
    </w:p>
    <w:p w14:paraId="2A65A76E" w14:textId="2FE34923" w:rsidR="00700A3D" w:rsidRDefault="00700A3D" w:rsidP="0062121C">
      <w:r>
        <w:t>For the purposes of P1053, the 2011 Ministerial Policy Guideline on Food Safety Management for General Food Service and Closely Related Retail Sectors</w:t>
      </w:r>
      <w:r w:rsidR="00A9420C">
        <w:t xml:space="preserve"> </w:t>
      </w:r>
      <w:r w:rsidR="00614431">
        <w:t xml:space="preserve">is a relevant matter which FSANZ will have regard to. It </w:t>
      </w:r>
      <w:r w:rsidR="00727B07">
        <w:t>was developed to provide a framework for food safety management in Australia in food service/retail sectors. The aim of these policy guidelines is to ensure that food safety management:</w:t>
      </w:r>
    </w:p>
    <w:p w14:paraId="0369B3B7" w14:textId="2B926079" w:rsidR="00727B07" w:rsidRDefault="00727B07" w:rsidP="0062121C">
      <w:pPr>
        <w:pStyle w:val="ListParagraph"/>
        <w:numPr>
          <w:ilvl w:val="0"/>
          <w:numId w:val="32"/>
        </w:numPr>
      </w:pPr>
      <w:r>
        <w:t>reduces foodborne illness by ensuring food is safe;</w:t>
      </w:r>
    </w:p>
    <w:p w14:paraId="298BD1D5" w14:textId="5D11CC87" w:rsidR="00727B07" w:rsidRDefault="00727B07" w:rsidP="0062121C">
      <w:pPr>
        <w:pStyle w:val="ListParagraph"/>
        <w:numPr>
          <w:ilvl w:val="0"/>
          <w:numId w:val="32"/>
        </w:numPr>
      </w:pPr>
      <w:r>
        <w:t>targets food safety risk in a cost-effective manner; and</w:t>
      </w:r>
    </w:p>
    <w:p w14:paraId="0EE0341B" w14:textId="6FD66F73" w:rsidR="00727B07" w:rsidRDefault="00727B07" w:rsidP="0062121C">
      <w:pPr>
        <w:pStyle w:val="ListParagraph"/>
        <w:numPr>
          <w:ilvl w:val="0"/>
          <w:numId w:val="32"/>
        </w:numPr>
      </w:pPr>
      <w:r>
        <w:t>is consistent with international best practice</w:t>
      </w:r>
    </w:p>
    <w:p w14:paraId="107E865E" w14:textId="77777777" w:rsidR="003D1BD9" w:rsidRDefault="003D1BD9" w:rsidP="003D1BD9">
      <w:pPr>
        <w:pStyle w:val="ListParagraph"/>
      </w:pPr>
    </w:p>
    <w:p w14:paraId="55652D7E" w14:textId="597D6A37" w:rsidR="006D68D1" w:rsidRDefault="006540F9" w:rsidP="00FF40CD">
      <w:pPr>
        <w:pStyle w:val="AARBullet"/>
        <w:numPr>
          <w:ilvl w:val="0"/>
          <w:numId w:val="0"/>
        </w:numPr>
      </w:pPr>
      <w:r>
        <w:rPr>
          <w:noProof/>
          <w:lang w:eastAsia="en-GB"/>
        </w:rPr>
        <mc:AlternateContent>
          <mc:Choice Requires="wps">
            <w:drawing>
              <wp:inline distT="0" distB="0" distL="0" distR="0" wp14:anchorId="1D8B958E" wp14:editId="034A2C95">
                <wp:extent cx="5876014" cy="495300"/>
                <wp:effectExtent l="0" t="0" r="10795" b="19050"/>
                <wp:docPr id="1" name="Text Box 1"/>
                <wp:cNvGraphicFramePr/>
                <a:graphic xmlns:a="http://schemas.openxmlformats.org/drawingml/2006/main">
                  <a:graphicData uri="http://schemas.microsoft.com/office/word/2010/wordprocessingShape">
                    <wps:wsp>
                      <wps:cNvSpPr txBox="1"/>
                      <wps:spPr>
                        <a:xfrm>
                          <a:off x="0" y="0"/>
                          <a:ext cx="5876014" cy="495300"/>
                        </a:xfrm>
                        <a:prstGeom prst="rect">
                          <a:avLst/>
                        </a:prstGeom>
                        <a:solidFill>
                          <a:schemeClr val="bg1">
                            <a:lumMod val="95000"/>
                          </a:schemeClr>
                        </a:solidFill>
                        <a:ln w="6350">
                          <a:solidFill>
                            <a:prstClr val="black"/>
                          </a:solidFill>
                        </a:ln>
                      </wps:spPr>
                      <wps:txbx>
                        <w:txbxContent>
                          <w:p w14:paraId="79757004" w14:textId="63A97032" w:rsidR="00C32887" w:rsidRDefault="00C32887" w:rsidP="006540F9">
                            <w:pPr>
                              <w:pStyle w:val="AARBullet"/>
                              <w:numPr>
                                <w:ilvl w:val="0"/>
                                <w:numId w:val="0"/>
                              </w:numPr>
                            </w:pPr>
                            <w:r w:rsidRPr="00D3134A">
                              <w:rPr>
                                <w:b/>
                                <w:sz w:val="20"/>
                                <w:szCs w:val="20"/>
                              </w:rPr>
                              <w:t>FSANZ welcome</w:t>
                            </w:r>
                            <w:r>
                              <w:rPr>
                                <w:b/>
                                <w:sz w:val="20"/>
                                <w:szCs w:val="20"/>
                              </w:rPr>
                              <w:t>s</w:t>
                            </w:r>
                            <w:r w:rsidRPr="00D3134A">
                              <w:rPr>
                                <w:b/>
                                <w:sz w:val="20"/>
                                <w:szCs w:val="20"/>
                              </w:rPr>
                              <w:t xml:space="preserve"> </w:t>
                            </w:r>
                            <w:r>
                              <w:rPr>
                                <w:b/>
                                <w:sz w:val="20"/>
                                <w:szCs w:val="20"/>
                              </w:rPr>
                              <w:t>comment</w:t>
                            </w:r>
                            <w:r w:rsidRPr="00D3134A">
                              <w:rPr>
                                <w:b/>
                                <w:sz w:val="20"/>
                                <w:szCs w:val="20"/>
                              </w:rPr>
                              <w:t xml:space="preserve"> </w:t>
                            </w:r>
                            <w:r>
                              <w:rPr>
                                <w:b/>
                                <w:sz w:val="20"/>
                                <w:szCs w:val="20"/>
                              </w:rPr>
                              <w:t>on the application of the above statutory assessment criteria to the three tools and their use in managing food safety risk for the in-scope business sectors.</w:t>
                            </w:r>
                          </w:p>
                          <w:p w14:paraId="2491285F" w14:textId="77777777" w:rsidR="00C32887" w:rsidRDefault="00C32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8B958E" id="Text Box 1" o:spid="_x0000_s1029" type="#_x0000_t202" style="width:462.7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GhXgIAAMwEAAAOAAAAZHJzL2Uyb0RvYy54bWysVEuP2jAQvlfqf7B8LwnPXSLCirKiqkR3&#10;V4Jqz8ZxIKrtcW1DQn99xw6v3fZU9WLmlXl88w2Th0ZJchDWVaBz2u2klAjNoaj0Nqff14tP95Q4&#10;z3TBJGiR06Nw9GH68cOkNpnowQ5kISzBJNpltcnpznuTJYnjO6GY64ARGp0lWMU8qnabFJbVmF3J&#10;pJemo6QGWxgLXDiH1sfWSacxf1kK7p/L0glPZE6xNx9fG99NeJPphGVby8yu4qc22D90oVilsegl&#10;1SPzjOxt9UcqVXELDkrf4aASKMuKizgDTtNN302z2jEj4iwIjjMXmNz/S8ufDi+WVAXujhLNFK5o&#10;LRpPPkNDugGd2rgMg1YGw3yD5hB5sjs0hqGb0qrwi+MQ9CPOxwu2IRlH4/D+bpR2B5Rw9A3Gw34a&#10;wU+uXxvr/BcBigQhpxZ3FyFlh6XzWBFDzyGhmANZFYtKyqgEvoi5tOTAcNObbTd+KvfqGxStbTxM&#10;LyUjvUJ4zPomk9SkzumoP0xjhje+UP5aQzL+IyCBfd1EoSY1GgNuLT5B8s2miSj3z9htoDgipBZa&#10;SjrDFxWmXzLnX5hFDiKKeFf+GZ9SAvYEJ4mSHdhff7OHeKQGeimpkdM5dT/3zApK5FeNpBl3B4Nw&#10;BFEZDO96qNhbz+bWo/dqDggmEgO7i2KI9/IslhbUK57fLFRFF9Mca+fUn8W5by8Nz5eL2SwGIe0N&#10;80u9MjykDssLsK6bV2bNafUeSfMEZ/az7B0D2tjwpYbZ3kNZRXoEnFtUT/DjycTtnM473OStHqOu&#10;f0LT3wAAAP//AwBQSwMEFAAGAAgAAAAhAFZqvFjcAAAABAEAAA8AAABkcnMvZG93bnJldi54bWxM&#10;j71Ow0AQhHsk3uG0SHTkTAjBGJ8jQErDT4FxkXLjW2yDb8/yXRLn7VlooFlpNKOZb/PV5Hq1pzF0&#10;ng1czhJQxLW3HTcGqvf1RQoqRGSLvWcycKQAq+L0JMfM+gO/0b6MjZISDhkaaGMcMq1D3ZLDMPMD&#10;sXgffnQYRY6NtiMepNz1ep4kS+2wY1locaDHluqvcucMLMqHp3V9fF7a6jW9St3LpvqcNsacn033&#10;d6AiTfEvDD/4gg6FMG39jm1QvQF5JP5e8W7n1wtQWwM3aQK6yPV/+OIbAAD//wMAUEsBAi0AFAAG&#10;AAgAAAAhALaDOJL+AAAA4QEAABMAAAAAAAAAAAAAAAAAAAAAAFtDb250ZW50X1R5cGVzXS54bWxQ&#10;SwECLQAUAAYACAAAACEAOP0h/9YAAACUAQAACwAAAAAAAAAAAAAAAAAvAQAAX3JlbHMvLnJlbHNQ&#10;SwECLQAUAAYACAAAACEA/BUhoV4CAADMBAAADgAAAAAAAAAAAAAAAAAuAgAAZHJzL2Uyb0RvYy54&#10;bWxQSwECLQAUAAYACAAAACEAVmq8WNwAAAAEAQAADwAAAAAAAAAAAAAAAAC4BAAAZHJzL2Rvd25y&#10;ZXYueG1sUEsFBgAAAAAEAAQA8wAAAMEFAAAAAA==&#10;" fillcolor="#f2f2f2 [3052]" strokeweight=".5pt">
                <v:textbox>
                  <w:txbxContent>
                    <w:p w14:paraId="79757004" w14:textId="63A97032" w:rsidR="00C32887" w:rsidRDefault="00C32887" w:rsidP="006540F9">
                      <w:pPr>
                        <w:pStyle w:val="AARBullet"/>
                        <w:numPr>
                          <w:ilvl w:val="0"/>
                          <w:numId w:val="0"/>
                        </w:numPr>
                      </w:pPr>
                      <w:r w:rsidRPr="00D3134A">
                        <w:rPr>
                          <w:b/>
                          <w:sz w:val="20"/>
                          <w:szCs w:val="20"/>
                        </w:rPr>
                        <w:t>FSANZ welcome</w:t>
                      </w:r>
                      <w:r>
                        <w:rPr>
                          <w:b/>
                          <w:sz w:val="20"/>
                          <w:szCs w:val="20"/>
                        </w:rPr>
                        <w:t>s</w:t>
                      </w:r>
                      <w:r w:rsidRPr="00D3134A">
                        <w:rPr>
                          <w:b/>
                          <w:sz w:val="20"/>
                          <w:szCs w:val="20"/>
                        </w:rPr>
                        <w:t xml:space="preserve"> </w:t>
                      </w:r>
                      <w:r>
                        <w:rPr>
                          <w:b/>
                          <w:sz w:val="20"/>
                          <w:szCs w:val="20"/>
                        </w:rPr>
                        <w:t>comment</w:t>
                      </w:r>
                      <w:r w:rsidRPr="00D3134A">
                        <w:rPr>
                          <w:b/>
                          <w:sz w:val="20"/>
                          <w:szCs w:val="20"/>
                        </w:rPr>
                        <w:t xml:space="preserve"> </w:t>
                      </w:r>
                      <w:r>
                        <w:rPr>
                          <w:b/>
                          <w:sz w:val="20"/>
                          <w:szCs w:val="20"/>
                        </w:rPr>
                        <w:t>on the application of the above statutory assessment criteria to the three tools and their use in managing food safety risk for the in-scope business sectors.</w:t>
                      </w:r>
                    </w:p>
                    <w:p w14:paraId="2491285F" w14:textId="77777777" w:rsidR="00C32887" w:rsidRDefault="00C32887"/>
                  </w:txbxContent>
                </v:textbox>
                <w10:anchorlock/>
              </v:shape>
            </w:pict>
          </mc:Fallback>
        </mc:AlternateContent>
      </w:r>
    </w:p>
    <w:p w14:paraId="32D9FD3C" w14:textId="77777777" w:rsidR="003D1BD9" w:rsidRDefault="003D1BD9" w:rsidP="0062121C"/>
    <w:p w14:paraId="198B796B" w14:textId="6977C553" w:rsidR="00700A3D" w:rsidRDefault="00700A3D" w:rsidP="0062121C">
      <w:r>
        <w:t>To achieve our objectives, FSANZ need</w:t>
      </w:r>
      <w:r w:rsidR="008A47F5">
        <w:t>s</w:t>
      </w:r>
      <w:r>
        <w:t xml:space="preserve"> to determine </w:t>
      </w:r>
      <w:r w:rsidR="00FF40CD">
        <w:t>whether food safety management tools should be mandated by the Code and if so, which tools apply to which business sectors</w:t>
      </w:r>
      <w:r>
        <w:t xml:space="preserve">. </w:t>
      </w:r>
      <w:r w:rsidR="00D3134A">
        <w:t xml:space="preserve">To assist the </w:t>
      </w:r>
      <w:r>
        <w:t>assessment</w:t>
      </w:r>
      <w:r w:rsidR="00D3134A">
        <w:t xml:space="preserve"> of costs and benefits, the following questions have been developed</w:t>
      </w:r>
      <w:r w:rsidR="00D47D24">
        <w:t xml:space="preserve"> (next page).</w:t>
      </w:r>
    </w:p>
    <w:p w14:paraId="08B938F2" w14:textId="12E23700" w:rsidR="00700A3D" w:rsidRDefault="00700A3D" w:rsidP="00700A3D">
      <w:pPr>
        <w:pStyle w:val="FSBullet"/>
        <w:ind w:left="0" w:firstLine="0"/>
      </w:pPr>
      <w:bookmarkStart w:id="39" w:name="_Toc28953773"/>
      <w:bookmarkStart w:id="40" w:name="_Toc29288669"/>
      <w:bookmarkStart w:id="41" w:name="_Toc29296001"/>
      <w:bookmarkEnd w:id="39"/>
      <w:bookmarkEnd w:id="40"/>
      <w:bookmarkEnd w:id="41"/>
      <w:r>
        <w:rPr>
          <w:noProof/>
          <w:lang w:eastAsia="en-GB" w:bidi="ar-SA"/>
        </w:rPr>
        <w:lastRenderedPageBreak/>
        <mc:AlternateContent>
          <mc:Choice Requires="wps">
            <w:drawing>
              <wp:inline distT="0" distB="0" distL="0" distR="0" wp14:anchorId="58757E91" wp14:editId="371DACA2">
                <wp:extent cx="6305550" cy="532447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324475"/>
                        </a:xfrm>
                        <a:prstGeom prst="rect">
                          <a:avLst/>
                        </a:prstGeom>
                        <a:solidFill>
                          <a:schemeClr val="bg1">
                            <a:lumMod val="95000"/>
                            <a:lumOff val="0"/>
                          </a:schemeClr>
                        </a:solidFill>
                        <a:ln w="6350">
                          <a:solidFill>
                            <a:srgbClr val="000000"/>
                          </a:solidFill>
                          <a:miter lim="800000"/>
                          <a:headEnd/>
                          <a:tailEnd/>
                        </a:ln>
                      </wps:spPr>
                      <wps:txbx>
                        <w:txbxContent>
                          <w:p w14:paraId="625F8046" w14:textId="22F0B254" w:rsidR="00C32887" w:rsidRPr="00D3134A" w:rsidRDefault="00C32887" w:rsidP="00700A3D">
                            <w:pPr>
                              <w:rPr>
                                <w:b/>
                                <w:sz w:val="20"/>
                                <w:szCs w:val="20"/>
                              </w:rPr>
                            </w:pPr>
                            <w:r w:rsidRPr="00D3134A">
                              <w:rPr>
                                <w:b/>
                                <w:sz w:val="20"/>
                                <w:szCs w:val="20"/>
                              </w:rPr>
                              <w:t>FSANZ would welcome information to inform its assessment of the cost and benefit of each of the three potential food safety management tools listed in this paper. Including information:</w:t>
                            </w:r>
                          </w:p>
                          <w:p w14:paraId="04C8EC67" w14:textId="3210EFE9" w:rsidR="00C32887" w:rsidRPr="00D3134A" w:rsidRDefault="00C32887" w:rsidP="0062121C">
                            <w:pPr>
                              <w:pStyle w:val="ListParagraph"/>
                              <w:numPr>
                                <w:ilvl w:val="0"/>
                                <w:numId w:val="10"/>
                              </w:numPr>
                              <w:rPr>
                                <w:sz w:val="20"/>
                                <w:szCs w:val="20"/>
                              </w:rPr>
                            </w:pPr>
                            <w:r w:rsidRPr="00D3134A">
                              <w:rPr>
                                <w:sz w:val="20"/>
                                <w:szCs w:val="20"/>
                              </w:rPr>
                              <w:t xml:space="preserve">from </w:t>
                            </w:r>
                            <w:r>
                              <w:rPr>
                                <w:sz w:val="20"/>
                                <w:szCs w:val="20"/>
                              </w:rPr>
                              <w:t xml:space="preserve">all stakeholders, but particularly </w:t>
                            </w:r>
                            <w:r w:rsidRPr="00D3134A">
                              <w:rPr>
                                <w:sz w:val="20"/>
                                <w:szCs w:val="20"/>
                              </w:rPr>
                              <w:t>consumers:</w:t>
                            </w:r>
                          </w:p>
                          <w:p w14:paraId="2B21DF45" w14:textId="77777777" w:rsidR="00C32887" w:rsidRPr="00D3134A" w:rsidRDefault="00C32887" w:rsidP="0062121C">
                            <w:pPr>
                              <w:pStyle w:val="ListParagraph"/>
                              <w:numPr>
                                <w:ilvl w:val="1"/>
                                <w:numId w:val="10"/>
                              </w:numPr>
                              <w:rPr>
                                <w:sz w:val="20"/>
                                <w:szCs w:val="20"/>
                              </w:rPr>
                            </w:pPr>
                            <w:r w:rsidRPr="00D3134A">
                              <w:rPr>
                                <w:sz w:val="20"/>
                                <w:szCs w:val="20"/>
                              </w:rPr>
                              <w:t>potential improvement in wellbeing as a result of safer food (i.e. avoided illness)</w:t>
                            </w:r>
                          </w:p>
                          <w:p w14:paraId="4D7F2837" w14:textId="77777777" w:rsidR="00C32887" w:rsidRPr="00D3134A" w:rsidRDefault="00C32887" w:rsidP="0062121C">
                            <w:pPr>
                              <w:pStyle w:val="ListParagraph"/>
                              <w:numPr>
                                <w:ilvl w:val="0"/>
                                <w:numId w:val="10"/>
                              </w:numPr>
                              <w:rPr>
                                <w:sz w:val="20"/>
                                <w:szCs w:val="20"/>
                              </w:rPr>
                            </w:pPr>
                            <w:r w:rsidRPr="00D3134A">
                              <w:rPr>
                                <w:sz w:val="20"/>
                                <w:szCs w:val="20"/>
                              </w:rPr>
                              <w:t>from government:</w:t>
                            </w:r>
                          </w:p>
                          <w:p w14:paraId="2236B121" w14:textId="77777777" w:rsidR="00C32887" w:rsidRPr="00D3134A" w:rsidRDefault="00C32887" w:rsidP="0062121C">
                            <w:pPr>
                              <w:pStyle w:val="ListParagraph"/>
                              <w:numPr>
                                <w:ilvl w:val="1"/>
                                <w:numId w:val="10"/>
                              </w:numPr>
                              <w:rPr>
                                <w:sz w:val="20"/>
                                <w:szCs w:val="20"/>
                              </w:rPr>
                            </w:pPr>
                            <w:r w:rsidRPr="00D3134A">
                              <w:rPr>
                                <w:sz w:val="20"/>
                                <w:szCs w:val="20"/>
                              </w:rPr>
                              <w:t>costs to implement and enforce new regulation</w:t>
                            </w:r>
                          </w:p>
                          <w:p w14:paraId="27360F17" w14:textId="77777777" w:rsidR="00C32887" w:rsidRPr="00D3134A" w:rsidRDefault="00C32887" w:rsidP="0062121C">
                            <w:pPr>
                              <w:pStyle w:val="ListParagraph"/>
                              <w:numPr>
                                <w:ilvl w:val="1"/>
                                <w:numId w:val="10"/>
                              </w:numPr>
                              <w:rPr>
                                <w:sz w:val="20"/>
                                <w:szCs w:val="20"/>
                              </w:rPr>
                            </w:pPr>
                            <w:r w:rsidRPr="00D3134A">
                              <w:rPr>
                                <w:sz w:val="20"/>
                                <w:szCs w:val="20"/>
                              </w:rPr>
                              <w:t>reduction in government costs as a result of reduced outbreaks, incidents and illness</w:t>
                            </w:r>
                          </w:p>
                          <w:p w14:paraId="5FED9F80" w14:textId="77777777" w:rsidR="00C32887" w:rsidRPr="00D3134A" w:rsidRDefault="00C32887" w:rsidP="0062121C">
                            <w:pPr>
                              <w:pStyle w:val="ListParagraph"/>
                              <w:numPr>
                                <w:ilvl w:val="1"/>
                                <w:numId w:val="10"/>
                              </w:numPr>
                              <w:rPr>
                                <w:sz w:val="20"/>
                                <w:szCs w:val="20"/>
                              </w:rPr>
                            </w:pPr>
                            <w:r w:rsidRPr="00D3134A">
                              <w:rPr>
                                <w:sz w:val="20"/>
                                <w:szCs w:val="20"/>
                              </w:rPr>
                              <w:t xml:space="preserve">numbers, types, size, number of employed food handlers, and locations of in-scope businesses </w:t>
                            </w:r>
                          </w:p>
                          <w:p w14:paraId="3A0CC98B" w14:textId="0337C874" w:rsidR="00C32887" w:rsidRPr="00D3134A" w:rsidRDefault="00C32887" w:rsidP="0062121C">
                            <w:pPr>
                              <w:pStyle w:val="ListParagraph"/>
                              <w:numPr>
                                <w:ilvl w:val="1"/>
                                <w:numId w:val="10"/>
                              </w:numPr>
                              <w:rPr>
                                <w:sz w:val="20"/>
                                <w:szCs w:val="20"/>
                              </w:rPr>
                            </w:pPr>
                            <w:r w:rsidRPr="00D3134A">
                              <w:rPr>
                                <w:sz w:val="20"/>
                                <w:szCs w:val="20"/>
                              </w:rPr>
                              <w:t xml:space="preserve">how compliance with Chapter 3 Standards is currently verified, the cost of doing so, and if the additional tools would change this process? </w:t>
                            </w:r>
                          </w:p>
                          <w:p w14:paraId="179C9D62" w14:textId="0D0F9E71" w:rsidR="00C32887" w:rsidRPr="00D3134A" w:rsidRDefault="00C32887" w:rsidP="0062121C">
                            <w:pPr>
                              <w:pStyle w:val="ListParagraph"/>
                              <w:numPr>
                                <w:ilvl w:val="1"/>
                                <w:numId w:val="10"/>
                              </w:numPr>
                              <w:rPr>
                                <w:sz w:val="20"/>
                                <w:szCs w:val="20"/>
                              </w:rPr>
                            </w:pPr>
                            <w:r w:rsidRPr="00D3134A">
                              <w:rPr>
                                <w:sz w:val="20"/>
                                <w:szCs w:val="20"/>
                              </w:rPr>
                              <w:t xml:space="preserve">numbers or proportions of in-scope businesses that have adopted the voluntary evidence for activities where PHF is handled </w:t>
                            </w:r>
                          </w:p>
                          <w:p w14:paraId="6E4E81CE" w14:textId="77777777" w:rsidR="00C32887" w:rsidRPr="00D3134A" w:rsidRDefault="00C32887" w:rsidP="0062121C">
                            <w:pPr>
                              <w:pStyle w:val="ListParagraph"/>
                              <w:numPr>
                                <w:ilvl w:val="1"/>
                                <w:numId w:val="10"/>
                              </w:numPr>
                              <w:rPr>
                                <w:sz w:val="20"/>
                                <w:szCs w:val="20"/>
                              </w:rPr>
                            </w:pPr>
                            <w:r w:rsidRPr="00D3134A">
                              <w:rPr>
                                <w:sz w:val="20"/>
                                <w:szCs w:val="20"/>
                              </w:rPr>
                              <w:t xml:space="preserve">numbers or proportions of in-scope businesses that make use of the government provided voluntary food handler training </w:t>
                            </w:r>
                          </w:p>
                          <w:p w14:paraId="54D6A76F" w14:textId="77777777" w:rsidR="00C32887" w:rsidRPr="00D3134A" w:rsidRDefault="00C32887" w:rsidP="0062121C">
                            <w:pPr>
                              <w:pStyle w:val="ListParagraph"/>
                              <w:numPr>
                                <w:ilvl w:val="0"/>
                                <w:numId w:val="10"/>
                              </w:numPr>
                              <w:rPr>
                                <w:sz w:val="20"/>
                                <w:szCs w:val="20"/>
                              </w:rPr>
                            </w:pPr>
                            <w:r w:rsidRPr="00D3134A">
                              <w:rPr>
                                <w:sz w:val="20"/>
                                <w:szCs w:val="20"/>
                              </w:rPr>
                              <w:t>from businesses:</w:t>
                            </w:r>
                          </w:p>
                          <w:p w14:paraId="49E220DE" w14:textId="77777777" w:rsidR="00C32887" w:rsidRPr="00D3134A" w:rsidRDefault="00C32887" w:rsidP="0062121C">
                            <w:pPr>
                              <w:pStyle w:val="ListParagraph"/>
                              <w:numPr>
                                <w:ilvl w:val="1"/>
                                <w:numId w:val="10"/>
                              </w:numPr>
                              <w:rPr>
                                <w:sz w:val="20"/>
                                <w:szCs w:val="20"/>
                              </w:rPr>
                            </w:pPr>
                            <w:r w:rsidRPr="00D3134A">
                              <w:rPr>
                                <w:sz w:val="20"/>
                                <w:szCs w:val="20"/>
                              </w:rPr>
                              <w:t>how each of the three potential food safety management tools listed in this paper may increase costs (some of which may end up being transferred to consumers)</w:t>
                            </w:r>
                          </w:p>
                          <w:p w14:paraId="0313D2CC" w14:textId="77777777" w:rsidR="00C32887" w:rsidRPr="00D3134A" w:rsidRDefault="00C32887" w:rsidP="0062121C">
                            <w:pPr>
                              <w:pStyle w:val="ListParagraph"/>
                              <w:numPr>
                                <w:ilvl w:val="1"/>
                                <w:numId w:val="10"/>
                              </w:numPr>
                              <w:rPr>
                                <w:sz w:val="20"/>
                                <w:szCs w:val="20"/>
                              </w:rPr>
                            </w:pPr>
                            <w:r w:rsidRPr="00D3134A">
                              <w:rPr>
                                <w:sz w:val="20"/>
                                <w:szCs w:val="20"/>
                              </w:rPr>
                              <w:t>if the reduced foodborne illness incidents would reduce business costs</w:t>
                            </w:r>
                          </w:p>
                          <w:p w14:paraId="2A8A9009" w14:textId="3043C6D0" w:rsidR="00C32887" w:rsidRPr="00D3134A" w:rsidRDefault="00C32887" w:rsidP="0062121C">
                            <w:pPr>
                              <w:pStyle w:val="ListParagraph"/>
                              <w:numPr>
                                <w:ilvl w:val="1"/>
                                <w:numId w:val="10"/>
                              </w:numPr>
                              <w:rPr>
                                <w:sz w:val="20"/>
                                <w:szCs w:val="20"/>
                              </w:rPr>
                            </w:pPr>
                            <w:r>
                              <w:rPr>
                                <w:sz w:val="20"/>
                                <w:szCs w:val="20"/>
                              </w:rPr>
                              <w:t>does</w:t>
                            </w:r>
                            <w:r w:rsidRPr="00D3134A">
                              <w:rPr>
                                <w:sz w:val="20"/>
                                <w:szCs w:val="20"/>
                              </w:rPr>
                              <w:t xml:space="preserve"> your business currently employs a FSS </w:t>
                            </w:r>
                          </w:p>
                          <w:p w14:paraId="20C47E65" w14:textId="77777777" w:rsidR="00C32887" w:rsidRPr="00D3134A" w:rsidRDefault="00C32887" w:rsidP="0062121C">
                            <w:pPr>
                              <w:pStyle w:val="ListParagraph"/>
                              <w:numPr>
                                <w:ilvl w:val="1"/>
                                <w:numId w:val="10"/>
                              </w:numPr>
                              <w:rPr>
                                <w:sz w:val="20"/>
                                <w:szCs w:val="20"/>
                              </w:rPr>
                            </w:pPr>
                            <w:r w:rsidRPr="00D3134A">
                              <w:rPr>
                                <w:sz w:val="20"/>
                                <w:szCs w:val="20"/>
                              </w:rPr>
                              <w:t>for those businesses that do employ a FSS, why do you employ a FSS (e.g. due to government requirements or for other purposes) and what costs were involved to train them and how often do you incur these costs (either for recertification or due to staff turnover)?</w:t>
                            </w:r>
                          </w:p>
                          <w:p w14:paraId="2D3199FF" w14:textId="77777777" w:rsidR="00C32887" w:rsidRPr="00D3134A" w:rsidRDefault="00C32887" w:rsidP="0062121C">
                            <w:pPr>
                              <w:pStyle w:val="ListParagraph"/>
                              <w:numPr>
                                <w:ilvl w:val="1"/>
                                <w:numId w:val="10"/>
                              </w:numPr>
                              <w:rPr>
                                <w:sz w:val="20"/>
                                <w:szCs w:val="20"/>
                              </w:rPr>
                            </w:pPr>
                            <w:r w:rsidRPr="00D3134A">
                              <w:rPr>
                                <w:sz w:val="20"/>
                                <w:szCs w:val="20"/>
                              </w:rPr>
                              <w:t xml:space="preserve">do you provide food safety training to general food handlers or specify that staff must have completed food safety training? </w:t>
                            </w:r>
                          </w:p>
                          <w:p w14:paraId="62ED930B" w14:textId="77777777" w:rsidR="00C32887" w:rsidRPr="00D3134A" w:rsidRDefault="00C32887" w:rsidP="0062121C">
                            <w:pPr>
                              <w:pStyle w:val="ListParagraph"/>
                              <w:numPr>
                                <w:ilvl w:val="1"/>
                                <w:numId w:val="10"/>
                              </w:numPr>
                              <w:rPr>
                                <w:sz w:val="20"/>
                                <w:szCs w:val="20"/>
                              </w:rPr>
                            </w:pPr>
                            <w:r w:rsidRPr="00D3134A">
                              <w:rPr>
                                <w:sz w:val="20"/>
                                <w:szCs w:val="20"/>
                              </w:rPr>
                              <w:t xml:space="preserve">for those businesses that do provide food safety training, is this training developed in-house, obtained from a jurisdictional food regulatory agency, or another source? Why do you provide this training (e.g. due to government requirements or for other purposes)? What costs do you incur to provide this training to your staff and how often would you incur these costs? </w:t>
                            </w:r>
                          </w:p>
                          <w:p w14:paraId="4F2EEACE" w14:textId="4872750B" w:rsidR="00C32887" w:rsidRPr="00D3134A" w:rsidRDefault="00C32887" w:rsidP="0062121C">
                            <w:pPr>
                              <w:pStyle w:val="ListParagraph"/>
                              <w:numPr>
                                <w:ilvl w:val="1"/>
                                <w:numId w:val="10"/>
                              </w:numPr>
                              <w:rPr>
                                <w:sz w:val="20"/>
                                <w:szCs w:val="20"/>
                              </w:rPr>
                            </w:pPr>
                            <w:r w:rsidRPr="00D3134A">
                              <w:rPr>
                                <w:sz w:val="20"/>
                                <w:szCs w:val="20"/>
                              </w:rPr>
                              <w:t>do you keep evidence of essential control measures? Is this a requirement in your jurisdiction, an expectation during audits, or for your own purposes?</w:t>
                            </w:r>
                          </w:p>
                          <w:p w14:paraId="55F2CA8F" w14:textId="7ED4E38A" w:rsidR="00C32887" w:rsidRPr="00D3134A" w:rsidRDefault="00C32887" w:rsidP="0062121C">
                            <w:pPr>
                              <w:pStyle w:val="ListParagraph"/>
                              <w:numPr>
                                <w:ilvl w:val="1"/>
                                <w:numId w:val="10"/>
                              </w:numPr>
                              <w:rPr>
                                <w:sz w:val="20"/>
                                <w:szCs w:val="20"/>
                              </w:rPr>
                            </w:pPr>
                            <w:r w:rsidRPr="00D3134A">
                              <w:rPr>
                                <w:sz w:val="20"/>
                                <w:szCs w:val="20"/>
                              </w:rPr>
                              <w:t>for those businesses that do keep evidence of essential control measures, what time or costs are involved in creating and maintaining this evidence?</w:t>
                            </w:r>
                          </w:p>
                          <w:p w14:paraId="5E51B51A" w14:textId="368E2871" w:rsidR="00C32887" w:rsidRPr="00D3134A" w:rsidRDefault="00C32887" w:rsidP="0062121C">
                            <w:pPr>
                              <w:pStyle w:val="ListParagraph"/>
                              <w:numPr>
                                <w:ilvl w:val="1"/>
                                <w:numId w:val="10"/>
                              </w:numPr>
                              <w:rPr>
                                <w:sz w:val="20"/>
                                <w:szCs w:val="20"/>
                              </w:rPr>
                            </w:pPr>
                            <w:r w:rsidRPr="00D3134A">
                              <w:rPr>
                                <w:sz w:val="20"/>
                                <w:szCs w:val="20"/>
                              </w:rPr>
                              <w:t>for those businesses that do keep evidence of essential control measures, do you obtain benefits from doing so (such as quicker audit times)?</w:t>
                            </w:r>
                          </w:p>
                        </w:txbxContent>
                      </wps:txbx>
                      <wps:bodyPr rot="0" vert="horz" wrap="square" lIns="91440" tIns="45720" rIns="91440" bIns="45720" anchor="t" anchorCtr="0" upright="1">
                        <a:noAutofit/>
                      </wps:bodyPr>
                    </wps:wsp>
                  </a:graphicData>
                </a:graphic>
              </wp:inline>
            </w:drawing>
          </mc:Choice>
          <mc:Fallback>
            <w:pict>
              <v:shape w14:anchorId="58757E91" id="Text Box 2" o:spid="_x0000_s1030" type="#_x0000_t202" style="width:496.5pt;height:4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XvSQIAAI4EAAAOAAAAZHJzL2Uyb0RvYy54bWysVNtu2zAMfR+wfxD0vthJ416MOEWXrsOA&#10;7gK0+wBZlm1hkqhJSuzs60vJSZatb8NeDImkDg8PSa9uR63ITjgvwVR0PsspEYZDI01X0e/PD++u&#10;KfGBmYYpMKKie+Hp7frtm9VgS7GAHlQjHEEQ48vBVrQPwZZZ5nkvNPMzsMKgswWnWcCr67LGsQHR&#10;tcoWeX6ZDeAa64AL79F6PznpOuG3reDha9t6EYiqKHIL6evSt47fbL1iZeeY7SU/0GD/wEIzaTDp&#10;CeqeBUa2Tr6C0pI78NCGGQedQdtKLlINWM08/6uap55ZkWpBcbw9yeT/Hyz/svvmiGwquqDEMI0t&#10;ehZjIO9hJIuozmB9iUFPFsPCiGbscqrU20fgPzwxsOmZ6cSdczD0gjXIbh5fZmdPJxwfQerhMzSY&#10;hm0DJKCxdTpKh2IQRMcu7U+diVQ4Gi8v8qIo0MXRV1wslsurIuVg5fG5dT58FKBJPFTUYesTPNs9&#10;+hDpsPIYErN5ULJ5kEqlSxw3sVGO7BgOSt1NJaqtRq6T7abI88O4oBmHajInE0KngY0IKdEf4MqQ&#10;IVaA9F8ndl19SosJDjki4Dk/LQNuiZK6otenIFZGtT+YJs1wYFJNZ3yszEH+qPikfRjrMfV5eexq&#10;Dc0e++FgWgpcYjz04H5RMuBCVNT/3DInKFGfDPb0Zr5cxg1Kl2VxtcCLO/fU5x5mOEJVNFAyHTdh&#10;2rqtdbLrMdMksYE7nINWpg7FgZlYHejj0Cc9Dwsat+r8nqJ+/0bWLwAAAP//AwBQSwMEFAAGAAgA&#10;AAAhAABtSVDbAAAABQEAAA8AAABkcnMvZG93bnJldi54bWxMj7FOw0AMhnck3uFkJDZ6gUKVhlwq&#10;QOoCdCBk6OjmTBLI+aLctU3fHsMCi6Vfv/X5c76aXK8ONIbOs4HrWQKKuPa248ZA9b6+SkGFiGyx&#10;90wGThRgVZyf5ZhZf+Q3OpSxUQLhkKGBNsYh0zrULTkMMz8QS/fhR4dR4thoO+JR4K7XN0my0A47&#10;lgstDvTUUv1V7p2B2/LxeV2fXha22qTz1L1uq89pa8zlxfRwDyrSFP+W4Udf1KEQp53fsw2qNyCP&#10;xN8p3XI5l7gzILA70EWu/9sX3wAAAP//AwBQSwECLQAUAAYACAAAACEAtoM4kv4AAADhAQAAEwAA&#10;AAAAAAAAAAAAAAAAAAAAW0NvbnRlbnRfVHlwZXNdLnhtbFBLAQItABQABgAIAAAAIQA4/SH/1gAA&#10;AJQBAAALAAAAAAAAAAAAAAAAAC8BAABfcmVscy8ucmVsc1BLAQItABQABgAIAAAAIQDUcbXvSQIA&#10;AI4EAAAOAAAAAAAAAAAAAAAAAC4CAABkcnMvZTJvRG9jLnhtbFBLAQItABQABgAIAAAAIQAAbUlQ&#10;2wAAAAUBAAAPAAAAAAAAAAAAAAAAAKMEAABkcnMvZG93bnJldi54bWxQSwUGAAAAAAQABADzAAAA&#10;qwUAAAAA&#10;" fillcolor="#f2f2f2 [3052]" strokeweight=".5pt">
                <v:textbox>
                  <w:txbxContent>
                    <w:p w14:paraId="625F8046" w14:textId="22F0B254" w:rsidR="00C32887" w:rsidRPr="00D3134A" w:rsidRDefault="00C32887" w:rsidP="00700A3D">
                      <w:pPr>
                        <w:rPr>
                          <w:b/>
                          <w:sz w:val="20"/>
                          <w:szCs w:val="20"/>
                        </w:rPr>
                      </w:pPr>
                      <w:r w:rsidRPr="00D3134A">
                        <w:rPr>
                          <w:b/>
                          <w:sz w:val="20"/>
                          <w:szCs w:val="20"/>
                        </w:rPr>
                        <w:t>FSANZ would welcome information to inform its assessment of the cost and benefit of each of the three potential food safety management tools listed in this paper. Including information:</w:t>
                      </w:r>
                    </w:p>
                    <w:p w14:paraId="04C8EC67" w14:textId="3210EFE9" w:rsidR="00C32887" w:rsidRPr="00D3134A" w:rsidRDefault="00C32887" w:rsidP="0062121C">
                      <w:pPr>
                        <w:pStyle w:val="ListParagraph"/>
                        <w:numPr>
                          <w:ilvl w:val="0"/>
                          <w:numId w:val="10"/>
                        </w:numPr>
                        <w:rPr>
                          <w:sz w:val="20"/>
                          <w:szCs w:val="20"/>
                        </w:rPr>
                      </w:pPr>
                      <w:r w:rsidRPr="00D3134A">
                        <w:rPr>
                          <w:sz w:val="20"/>
                          <w:szCs w:val="20"/>
                        </w:rPr>
                        <w:t xml:space="preserve">from </w:t>
                      </w:r>
                      <w:r>
                        <w:rPr>
                          <w:sz w:val="20"/>
                          <w:szCs w:val="20"/>
                        </w:rPr>
                        <w:t xml:space="preserve">all stakeholders, but particularly </w:t>
                      </w:r>
                      <w:r w:rsidRPr="00D3134A">
                        <w:rPr>
                          <w:sz w:val="20"/>
                          <w:szCs w:val="20"/>
                        </w:rPr>
                        <w:t>consumers:</w:t>
                      </w:r>
                    </w:p>
                    <w:p w14:paraId="2B21DF45" w14:textId="77777777" w:rsidR="00C32887" w:rsidRPr="00D3134A" w:rsidRDefault="00C32887" w:rsidP="0062121C">
                      <w:pPr>
                        <w:pStyle w:val="ListParagraph"/>
                        <w:numPr>
                          <w:ilvl w:val="1"/>
                          <w:numId w:val="10"/>
                        </w:numPr>
                        <w:rPr>
                          <w:sz w:val="20"/>
                          <w:szCs w:val="20"/>
                        </w:rPr>
                      </w:pPr>
                      <w:r w:rsidRPr="00D3134A">
                        <w:rPr>
                          <w:sz w:val="20"/>
                          <w:szCs w:val="20"/>
                        </w:rPr>
                        <w:t>potential improvement in wellbeing as a result of safer food (i.e. avoided illness)</w:t>
                      </w:r>
                    </w:p>
                    <w:p w14:paraId="4D7F2837" w14:textId="77777777" w:rsidR="00C32887" w:rsidRPr="00D3134A" w:rsidRDefault="00C32887" w:rsidP="0062121C">
                      <w:pPr>
                        <w:pStyle w:val="ListParagraph"/>
                        <w:numPr>
                          <w:ilvl w:val="0"/>
                          <w:numId w:val="10"/>
                        </w:numPr>
                        <w:rPr>
                          <w:sz w:val="20"/>
                          <w:szCs w:val="20"/>
                        </w:rPr>
                      </w:pPr>
                      <w:r w:rsidRPr="00D3134A">
                        <w:rPr>
                          <w:sz w:val="20"/>
                          <w:szCs w:val="20"/>
                        </w:rPr>
                        <w:t>from government:</w:t>
                      </w:r>
                    </w:p>
                    <w:p w14:paraId="2236B121" w14:textId="77777777" w:rsidR="00C32887" w:rsidRPr="00D3134A" w:rsidRDefault="00C32887" w:rsidP="0062121C">
                      <w:pPr>
                        <w:pStyle w:val="ListParagraph"/>
                        <w:numPr>
                          <w:ilvl w:val="1"/>
                          <w:numId w:val="10"/>
                        </w:numPr>
                        <w:rPr>
                          <w:sz w:val="20"/>
                          <w:szCs w:val="20"/>
                        </w:rPr>
                      </w:pPr>
                      <w:r w:rsidRPr="00D3134A">
                        <w:rPr>
                          <w:sz w:val="20"/>
                          <w:szCs w:val="20"/>
                        </w:rPr>
                        <w:t>costs to implement and enforce new regulation</w:t>
                      </w:r>
                    </w:p>
                    <w:p w14:paraId="27360F17" w14:textId="77777777" w:rsidR="00C32887" w:rsidRPr="00D3134A" w:rsidRDefault="00C32887" w:rsidP="0062121C">
                      <w:pPr>
                        <w:pStyle w:val="ListParagraph"/>
                        <w:numPr>
                          <w:ilvl w:val="1"/>
                          <w:numId w:val="10"/>
                        </w:numPr>
                        <w:rPr>
                          <w:sz w:val="20"/>
                          <w:szCs w:val="20"/>
                        </w:rPr>
                      </w:pPr>
                      <w:r w:rsidRPr="00D3134A">
                        <w:rPr>
                          <w:sz w:val="20"/>
                          <w:szCs w:val="20"/>
                        </w:rPr>
                        <w:t>reduction in government costs as a result of reduced outbreaks, incidents and illness</w:t>
                      </w:r>
                    </w:p>
                    <w:p w14:paraId="5FED9F80" w14:textId="77777777" w:rsidR="00C32887" w:rsidRPr="00D3134A" w:rsidRDefault="00C32887" w:rsidP="0062121C">
                      <w:pPr>
                        <w:pStyle w:val="ListParagraph"/>
                        <w:numPr>
                          <w:ilvl w:val="1"/>
                          <w:numId w:val="10"/>
                        </w:numPr>
                        <w:rPr>
                          <w:sz w:val="20"/>
                          <w:szCs w:val="20"/>
                        </w:rPr>
                      </w:pPr>
                      <w:r w:rsidRPr="00D3134A">
                        <w:rPr>
                          <w:sz w:val="20"/>
                          <w:szCs w:val="20"/>
                        </w:rPr>
                        <w:t xml:space="preserve">numbers, types, size, number of employed food handlers, and locations of in-scope businesses </w:t>
                      </w:r>
                    </w:p>
                    <w:p w14:paraId="3A0CC98B" w14:textId="0337C874" w:rsidR="00C32887" w:rsidRPr="00D3134A" w:rsidRDefault="00C32887" w:rsidP="0062121C">
                      <w:pPr>
                        <w:pStyle w:val="ListParagraph"/>
                        <w:numPr>
                          <w:ilvl w:val="1"/>
                          <w:numId w:val="10"/>
                        </w:numPr>
                        <w:rPr>
                          <w:sz w:val="20"/>
                          <w:szCs w:val="20"/>
                        </w:rPr>
                      </w:pPr>
                      <w:r w:rsidRPr="00D3134A">
                        <w:rPr>
                          <w:sz w:val="20"/>
                          <w:szCs w:val="20"/>
                        </w:rPr>
                        <w:t xml:space="preserve">how compliance with Chapter 3 Standards is currently verified, the cost of doing so, and if the additional tools would change this process? </w:t>
                      </w:r>
                    </w:p>
                    <w:p w14:paraId="179C9D62" w14:textId="0D0F9E71" w:rsidR="00C32887" w:rsidRPr="00D3134A" w:rsidRDefault="00C32887" w:rsidP="0062121C">
                      <w:pPr>
                        <w:pStyle w:val="ListParagraph"/>
                        <w:numPr>
                          <w:ilvl w:val="1"/>
                          <w:numId w:val="10"/>
                        </w:numPr>
                        <w:rPr>
                          <w:sz w:val="20"/>
                          <w:szCs w:val="20"/>
                        </w:rPr>
                      </w:pPr>
                      <w:r w:rsidRPr="00D3134A">
                        <w:rPr>
                          <w:sz w:val="20"/>
                          <w:szCs w:val="20"/>
                        </w:rPr>
                        <w:t xml:space="preserve">numbers or proportions of in-scope businesses that have adopted the voluntary evidence for activities where PHF is handled </w:t>
                      </w:r>
                    </w:p>
                    <w:p w14:paraId="6E4E81CE" w14:textId="77777777" w:rsidR="00C32887" w:rsidRPr="00D3134A" w:rsidRDefault="00C32887" w:rsidP="0062121C">
                      <w:pPr>
                        <w:pStyle w:val="ListParagraph"/>
                        <w:numPr>
                          <w:ilvl w:val="1"/>
                          <w:numId w:val="10"/>
                        </w:numPr>
                        <w:rPr>
                          <w:sz w:val="20"/>
                          <w:szCs w:val="20"/>
                        </w:rPr>
                      </w:pPr>
                      <w:r w:rsidRPr="00D3134A">
                        <w:rPr>
                          <w:sz w:val="20"/>
                          <w:szCs w:val="20"/>
                        </w:rPr>
                        <w:t xml:space="preserve">numbers or proportions of in-scope businesses that make use of the government provided voluntary food handler training </w:t>
                      </w:r>
                    </w:p>
                    <w:p w14:paraId="54D6A76F" w14:textId="77777777" w:rsidR="00C32887" w:rsidRPr="00D3134A" w:rsidRDefault="00C32887" w:rsidP="0062121C">
                      <w:pPr>
                        <w:pStyle w:val="ListParagraph"/>
                        <w:numPr>
                          <w:ilvl w:val="0"/>
                          <w:numId w:val="10"/>
                        </w:numPr>
                        <w:rPr>
                          <w:sz w:val="20"/>
                          <w:szCs w:val="20"/>
                        </w:rPr>
                      </w:pPr>
                      <w:r w:rsidRPr="00D3134A">
                        <w:rPr>
                          <w:sz w:val="20"/>
                          <w:szCs w:val="20"/>
                        </w:rPr>
                        <w:t>from businesses:</w:t>
                      </w:r>
                    </w:p>
                    <w:p w14:paraId="49E220DE" w14:textId="77777777" w:rsidR="00C32887" w:rsidRPr="00D3134A" w:rsidRDefault="00C32887" w:rsidP="0062121C">
                      <w:pPr>
                        <w:pStyle w:val="ListParagraph"/>
                        <w:numPr>
                          <w:ilvl w:val="1"/>
                          <w:numId w:val="10"/>
                        </w:numPr>
                        <w:rPr>
                          <w:sz w:val="20"/>
                          <w:szCs w:val="20"/>
                        </w:rPr>
                      </w:pPr>
                      <w:r w:rsidRPr="00D3134A">
                        <w:rPr>
                          <w:sz w:val="20"/>
                          <w:szCs w:val="20"/>
                        </w:rPr>
                        <w:t>how each of the three potential food safety management tools listed in this paper may increase costs (some of which may end up being transferred to consumers)</w:t>
                      </w:r>
                    </w:p>
                    <w:p w14:paraId="0313D2CC" w14:textId="77777777" w:rsidR="00C32887" w:rsidRPr="00D3134A" w:rsidRDefault="00C32887" w:rsidP="0062121C">
                      <w:pPr>
                        <w:pStyle w:val="ListParagraph"/>
                        <w:numPr>
                          <w:ilvl w:val="1"/>
                          <w:numId w:val="10"/>
                        </w:numPr>
                        <w:rPr>
                          <w:sz w:val="20"/>
                          <w:szCs w:val="20"/>
                        </w:rPr>
                      </w:pPr>
                      <w:r w:rsidRPr="00D3134A">
                        <w:rPr>
                          <w:sz w:val="20"/>
                          <w:szCs w:val="20"/>
                        </w:rPr>
                        <w:t>if the reduced foodborne illness incidents would reduce business costs</w:t>
                      </w:r>
                    </w:p>
                    <w:p w14:paraId="2A8A9009" w14:textId="3043C6D0" w:rsidR="00C32887" w:rsidRPr="00D3134A" w:rsidRDefault="00C32887" w:rsidP="0062121C">
                      <w:pPr>
                        <w:pStyle w:val="ListParagraph"/>
                        <w:numPr>
                          <w:ilvl w:val="1"/>
                          <w:numId w:val="10"/>
                        </w:numPr>
                        <w:rPr>
                          <w:sz w:val="20"/>
                          <w:szCs w:val="20"/>
                        </w:rPr>
                      </w:pPr>
                      <w:r>
                        <w:rPr>
                          <w:sz w:val="20"/>
                          <w:szCs w:val="20"/>
                        </w:rPr>
                        <w:t>does</w:t>
                      </w:r>
                      <w:r w:rsidRPr="00D3134A">
                        <w:rPr>
                          <w:sz w:val="20"/>
                          <w:szCs w:val="20"/>
                        </w:rPr>
                        <w:t xml:space="preserve"> your business currently employs a FSS </w:t>
                      </w:r>
                    </w:p>
                    <w:p w14:paraId="20C47E65" w14:textId="77777777" w:rsidR="00C32887" w:rsidRPr="00D3134A" w:rsidRDefault="00C32887" w:rsidP="0062121C">
                      <w:pPr>
                        <w:pStyle w:val="ListParagraph"/>
                        <w:numPr>
                          <w:ilvl w:val="1"/>
                          <w:numId w:val="10"/>
                        </w:numPr>
                        <w:rPr>
                          <w:sz w:val="20"/>
                          <w:szCs w:val="20"/>
                        </w:rPr>
                      </w:pPr>
                      <w:r w:rsidRPr="00D3134A">
                        <w:rPr>
                          <w:sz w:val="20"/>
                          <w:szCs w:val="20"/>
                        </w:rPr>
                        <w:t>for those businesses that do employ a FSS, why do you employ a FSS (e.g. due to government requirements or for other purposes) and what costs were involved to train them and how often do you incur these costs (either for recertification or due to staff turnover)?</w:t>
                      </w:r>
                    </w:p>
                    <w:p w14:paraId="2D3199FF" w14:textId="77777777" w:rsidR="00C32887" w:rsidRPr="00D3134A" w:rsidRDefault="00C32887" w:rsidP="0062121C">
                      <w:pPr>
                        <w:pStyle w:val="ListParagraph"/>
                        <w:numPr>
                          <w:ilvl w:val="1"/>
                          <w:numId w:val="10"/>
                        </w:numPr>
                        <w:rPr>
                          <w:sz w:val="20"/>
                          <w:szCs w:val="20"/>
                        </w:rPr>
                      </w:pPr>
                      <w:r w:rsidRPr="00D3134A">
                        <w:rPr>
                          <w:sz w:val="20"/>
                          <w:szCs w:val="20"/>
                        </w:rPr>
                        <w:t xml:space="preserve">do you provide food safety training to general food handlers or specify that staff must have completed food safety training? </w:t>
                      </w:r>
                    </w:p>
                    <w:p w14:paraId="62ED930B" w14:textId="77777777" w:rsidR="00C32887" w:rsidRPr="00D3134A" w:rsidRDefault="00C32887" w:rsidP="0062121C">
                      <w:pPr>
                        <w:pStyle w:val="ListParagraph"/>
                        <w:numPr>
                          <w:ilvl w:val="1"/>
                          <w:numId w:val="10"/>
                        </w:numPr>
                        <w:rPr>
                          <w:sz w:val="20"/>
                          <w:szCs w:val="20"/>
                        </w:rPr>
                      </w:pPr>
                      <w:r w:rsidRPr="00D3134A">
                        <w:rPr>
                          <w:sz w:val="20"/>
                          <w:szCs w:val="20"/>
                        </w:rPr>
                        <w:t xml:space="preserve">for those businesses that do provide food safety training, is this training developed in-house, obtained from a jurisdictional food regulatory agency, or another source? Why do you provide this training (e.g. due to government requirements or for other purposes)? What costs do you incur to provide this training to your staff and how often would you incur these costs? </w:t>
                      </w:r>
                    </w:p>
                    <w:p w14:paraId="4F2EEACE" w14:textId="4872750B" w:rsidR="00C32887" w:rsidRPr="00D3134A" w:rsidRDefault="00C32887" w:rsidP="0062121C">
                      <w:pPr>
                        <w:pStyle w:val="ListParagraph"/>
                        <w:numPr>
                          <w:ilvl w:val="1"/>
                          <w:numId w:val="10"/>
                        </w:numPr>
                        <w:rPr>
                          <w:sz w:val="20"/>
                          <w:szCs w:val="20"/>
                        </w:rPr>
                      </w:pPr>
                      <w:r w:rsidRPr="00D3134A">
                        <w:rPr>
                          <w:sz w:val="20"/>
                          <w:szCs w:val="20"/>
                        </w:rPr>
                        <w:t>do you keep evidence of essential control measures? Is this a requirement in your jurisdiction, an expectation during audits, or for your own purposes?</w:t>
                      </w:r>
                    </w:p>
                    <w:p w14:paraId="55F2CA8F" w14:textId="7ED4E38A" w:rsidR="00C32887" w:rsidRPr="00D3134A" w:rsidRDefault="00C32887" w:rsidP="0062121C">
                      <w:pPr>
                        <w:pStyle w:val="ListParagraph"/>
                        <w:numPr>
                          <w:ilvl w:val="1"/>
                          <w:numId w:val="10"/>
                        </w:numPr>
                        <w:rPr>
                          <w:sz w:val="20"/>
                          <w:szCs w:val="20"/>
                        </w:rPr>
                      </w:pPr>
                      <w:r w:rsidRPr="00D3134A">
                        <w:rPr>
                          <w:sz w:val="20"/>
                          <w:szCs w:val="20"/>
                        </w:rPr>
                        <w:t>for those businesses that do keep evidence of essential control measures, what time or costs are involved in creating and maintaining this evidence?</w:t>
                      </w:r>
                    </w:p>
                    <w:p w14:paraId="5E51B51A" w14:textId="368E2871" w:rsidR="00C32887" w:rsidRPr="00D3134A" w:rsidRDefault="00C32887" w:rsidP="0062121C">
                      <w:pPr>
                        <w:pStyle w:val="ListParagraph"/>
                        <w:numPr>
                          <w:ilvl w:val="1"/>
                          <w:numId w:val="10"/>
                        </w:numPr>
                        <w:rPr>
                          <w:sz w:val="20"/>
                          <w:szCs w:val="20"/>
                        </w:rPr>
                      </w:pPr>
                      <w:r w:rsidRPr="00D3134A">
                        <w:rPr>
                          <w:sz w:val="20"/>
                          <w:szCs w:val="20"/>
                        </w:rPr>
                        <w:t>for those businesses that do keep evidence of essential control measures, do you obtain benefits from doing so (such as quicker audit times)?</w:t>
                      </w:r>
                    </w:p>
                  </w:txbxContent>
                </v:textbox>
                <w10:anchorlock/>
              </v:shape>
            </w:pict>
          </mc:Fallback>
        </mc:AlternateContent>
      </w:r>
    </w:p>
    <w:p w14:paraId="0987DBD1" w14:textId="77777777" w:rsidR="00FC77F6" w:rsidRDefault="00FC77F6" w:rsidP="00FC77F6">
      <w:bookmarkStart w:id="42" w:name="_Toc7447719"/>
    </w:p>
    <w:p w14:paraId="6B8CEC07" w14:textId="77777777" w:rsidR="003D1BD9" w:rsidRDefault="003D1BD9">
      <w:pPr>
        <w:spacing w:before="0" w:after="0"/>
        <w:rPr>
          <w:rFonts w:eastAsiaTheme="majorEastAsia" w:cstheme="majorBidi"/>
          <w:b/>
          <w:bCs/>
          <w:sz w:val="36"/>
          <w:szCs w:val="28"/>
        </w:rPr>
      </w:pPr>
      <w:bookmarkStart w:id="43" w:name="_Toc33094525"/>
      <w:r>
        <w:br w:type="page"/>
      </w:r>
    </w:p>
    <w:p w14:paraId="3B633719" w14:textId="51C0C686" w:rsidR="00700A3D" w:rsidRDefault="00700A3D" w:rsidP="00951327">
      <w:pPr>
        <w:pStyle w:val="Heading1"/>
      </w:pPr>
      <w:r>
        <w:lastRenderedPageBreak/>
        <w:t>7.</w:t>
      </w:r>
      <w:r>
        <w:rPr>
          <w:rStyle w:val="Heading2Char"/>
          <w:b/>
          <w:bCs/>
        </w:rPr>
        <w:t xml:space="preserve"> </w:t>
      </w:r>
      <w:bookmarkEnd w:id="42"/>
      <w:r w:rsidRPr="00951327">
        <w:rPr>
          <w:rStyle w:val="Heading2Char"/>
          <w:b/>
          <w:bCs/>
          <w:sz w:val="36"/>
        </w:rPr>
        <w:t>References</w:t>
      </w:r>
      <w:bookmarkEnd w:id="43"/>
      <w:r>
        <w:t xml:space="preserve"> </w:t>
      </w:r>
    </w:p>
    <w:p w14:paraId="68458B74" w14:textId="77777777" w:rsidR="00700A3D" w:rsidRDefault="00700A3D" w:rsidP="00700A3D">
      <w:pPr>
        <w:spacing w:before="0" w:after="0"/>
      </w:pPr>
      <w:r>
        <w:t xml:space="preserve">Abelson P, Forbes M P, Hall G (2006) The annual cost of foodborne illness in Australia. Report No.: 0642829063. Australian Government Department of Health and Ageing, Canberra. </w:t>
      </w:r>
    </w:p>
    <w:p w14:paraId="4F03C505" w14:textId="77777777" w:rsidR="00700A3D" w:rsidRDefault="00700A3D" w:rsidP="00700A3D">
      <w:pPr>
        <w:spacing w:before="0" w:after="0"/>
      </w:pPr>
    </w:p>
    <w:p w14:paraId="5EAA2F86" w14:textId="77777777" w:rsidR="00700A3D" w:rsidRDefault="00700A3D" w:rsidP="00700A3D">
      <w:pPr>
        <w:spacing w:before="0" w:after="0"/>
      </w:pPr>
      <w:bookmarkStart w:id="44" w:name="_CTVL0018c34a6c0d9764badbdbcfda9adf87014"/>
      <w:r>
        <w:t>Ashbolt, R, Bell R, Combs B, Crerar S, Dalton C, Dempsey K et al. (2003) Foodborne disease in Australia: incidence, notifications and outbreaks. Annual report of the OzFoodNet network, 2002. 27</w:t>
      </w:r>
      <w:bookmarkEnd w:id="44"/>
      <w:r>
        <w:rPr>
          <w:vertAlign w:val="superscript"/>
        </w:rPr>
        <w:t>th</w:t>
      </w:r>
      <w:r>
        <w:t xml:space="preserve"> ed. Australian Department of Health, Canberra. </w:t>
      </w:r>
    </w:p>
    <w:p w14:paraId="41EE184C" w14:textId="77777777" w:rsidR="00700A3D" w:rsidRDefault="00AE10F9" w:rsidP="00700A3D">
      <w:pPr>
        <w:spacing w:before="0" w:after="0"/>
      </w:pPr>
      <w:hyperlink r:id="rId15" w:history="1">
        <w:r w:rsidR="00700A3D">
          <w:rPr>
            <w:rStyle w:val="Hyperlink"/>
          </w:rPr>
          <w:t>http://www.health.gov.au/internet/main/publishing.nsf/Content/cda-pubs-annlrpt-ozfnetar.htm</w:t>
        </w:r>
      </w:hyperlink>
    </w:p>
    <w:p w14:paraId="6626F5AC" w14:textId="77777777" w:rsidR="00700A3D" w:rsidRDefault="00700A3D" w:rsidP="00700A3D">
      <w:pPr>
        <w:spacing w:before="0" w:after="0"/>
      </w:pPr>
      <w:r>
        <w:t>Accessed 4 January 2019</w:t>
      </w:r>
    </w:p>
    <w:p w14:paraId="7FABAE0F" w14:textId="77777777" w:rsidR="00700A3D" w:rsidRDefault="00700A3D" w:rsidP="00700A3D">
      <w:pPr>
        <w:spacing w:before="0" w:after="0"/>
        <w:rPr>
          <w:lang w:val="en-AU"/>
        </w:rPr>
      </w:pPr>
    </w:p>
    <w:p w14:paraId="784168D6" w14:textId="77777777" w:rsidR="00700A3D" w:rsidRDefault="00700A3D" w:rsidP="00700A3D">
      <w:pPr>
        <w:spacing w:before="0" w:after="0"/>
        <w:rPr>
          <w:lang w:val="en-AU"/>
        </w:rPr>
      </w:pPr>
      <w:r>
        <w:rPr>
          <w:lang w:val="en-AU"/>
        </w:rPr>
        <w:t>Allen Consulting Group (2002). Food safety management systems: costs, benefits and alternatives: final report to the Commonwealth Department of Health and Ageing. Department of Health and Ageing, Canberra</w:t>
      </w:r>
    </w:p>
    <w:p w14:paraId="005FCF75" w14:textId="77777777" w:rsidR="00700A3D" w:rsidRDefault="00700A3D" w:rsidP="00700A3D">
      <w:pPr>
        <w:spacing w:before="0" w:after="0"/>
      </w:pPr>
    </w:p>
    <w:p w14:paraId="76A67CC3" w14:textId="77777777" w:rsidR="00700A3D" w:rsidRDefault="00700A3D" w:rsidP="00700A3D">
      <w:pPr>
        <w:spacing w:before="0" w:after="0"/>
        <w:rPr>
          <w:rFonts w:cs="Arial"/>
          <w:lang w:val="en-AU"/>
        </w:rPr>
      </w:pPr>
      <w:r>
        <w:rPr>
          <w:rFonts w:cs="Arial"/>
          <w:lang w:val="en-AU"/>
        </w:rPr>
        <w:t xml:space="preserve">Byrd-Bredbenner C, Maurer J, Wheatley V, Schaffner D, Bruhn C, Blalock L (2007) </w:t>
      </w:r>
      <w:r>
        <w:t>Food Safety Self-Reported Behaviors and Cognitions of Young Adults: Results of a National Study</w:t>
      </w:r>
    </w:p>
    <w:p w14:paraId="6C0D4D0F" w14:textId="77777777" w:rsidR="00700A3D" w:rsidRDefault="00700A3D" w:rsidP="00700A3D">
      <w:pPr>
        <w:spacing w:before="0" w:after="0"/>
        <w:rPr>
          <w:rFonts w:cs="Arial"/>
          <w:lang w:val="en-AU"/>
        </w:rPr>
      </w:pPr>
      <w:r>
        <w:rPr>
          <w:rFonts w:cs="Arial"/>
        </w:rPr>
        <w:t>Journal of Food Protection 70(8):1917–1926</w:t>
      </w:r>
    </w:p>
    <w:p w14:paraId="55522937" w14:textId="77777777" w:rsidR="00700A3D" w:rsidRDefault="00700A3D" w:rsidP="00700A3D">
      <w:pPr>
        <w:spacing w:before="0" w:after="0"/>
        <w:rPr>
          <w:rFonts w:cs="Arial"/>
          <w:color w:val="0000FF"/>
          <w:u w:val="single"/>
        </w:rPr>
      </w:pPr>
      <w:r>
        <w:rPr>
          <w:rFonts w:cs="Arial"/>
          <w:color w:val="0000FF"/>
          <w:u w:val="single"/>
        </w:rPr>
        <w:t>http://ucce.ucdavis.edu/files/datastore/234-782.pdf</w:t>
      </w:r>
    </w:p>
    <w:p w14:paraId="4C040B0E" w14:textId="77777777" w:rsidR="00700A3D" w:rsidRDefault="00700A3D" w:rsidP="00700A3D">
      <w:pPr>
        <w:spacing w:before="0" w:after="0"/>
      </w:pPr>
    </w:p>
    <w:p w14:paraId="5228FD63" w14:textId="77777777" w:rsidR="00700A3D" w:rsidRDefault="00700A3D" w:rsidP="00700A3D">
      <w:pPr>
        <w:spacing w:before="0" w:after="0"/>
      </w:pPr>
      <w:r>
        <w:t>Cates SC, Muth MK, Karns SA, et al. (2009) Certified kitchen managers: Do they improve restaurant inspection outcomes? Journal of Food Protection 72(2):384–91–513</w:t>
      </w:r>
    </w:p>
    <w:p w14:paraId="098DAEFC" w14:textId="77777777" w:rsidR="00700A3D" w:rsidRDefault="00700A3D" w:rsidP="00700A3D">
      <w:pPr>
        <w:spacing w:before="0" w:after="0"/>
      </w:pPr>
    </w:p>
    <w:p w14:paraId="1B7EC23B" w14:textId="77777777" w:rsidR="00700A3D" w:rsidRDefault="00700A3D" w:rsidP="00700A3D">
      <w:pPr>
        <w:spacing w:before="0" w:after="0"/>
      </w:pPr>
      <w:r>
        <w:t>Davies, B, Brough M and Johnstone E (2014) Food safety: Maximising impact by understanding the food business context. Australian Centre for Excellence for Local Government, University of Technology, Sydney</w:t>
      </w:r>
    </w:p>
    <w:p w14:paraId="68EE0C40" w14:textId="77777777" w:rsidR="00700A3D" w:rsidRDefault="00AE10F9" w:rsidP="00700A3D">
      <w:pPr>
        <w:spacing w:before="0" w:after="0"/>
      </w:pPr>
      <w:hyperlink r:id="rId16" w:history="1">
        <w:r w:rsidR="00700A3D">
          <w:rPr>
            <w:rStyle w:val="Hyperlink"/>
          </w:rPr>
          <w:t>https://eprints.qut.edu.au/74429/1/ACELG_Food-Safety_2014.pdf</w:t>
        </w:r>
      </w:hyperlink>
    </w:p>
    <w:p w14:paraId="0F58E3A5" w14:textId="77777777" w:rsidR="00700A3D" w:rsidRDefault="00700A3D" w:rsidP="00700A3D">
      <w:pPr>
        <w:spacing w:before="0" w:after="0"/>
        <w:rPr>
          <w:lang w:val="en-AU"/>
        </w:rPr>
      </w:pPr>
      <w:r>
        <w:t>Accessed 15 January 2020</w:t>
      </w:r>
    </w:p>
    <w:p w14:paraId="6021F619" w14:textId="77777777" w:rsidR="00700A3D" w:rsidRDefault="00700A3D" w:rsidP="00700A3D">
      <w:pPr>
        <w:spacing w:before="0" w:after="0"/>
      </w:pPr>
    </w:p>
    <w:p w14:paraId="11EB1006" w14:textId="77777777" w:rsidR="00700A3D" w:rsidRDefault="00700A3D" w:rsidP="00700A3D">
      <w:pPr>
        <w:spacing w:before="0" w:after="0"/>
        <w:rPr>
          <w:rFonts w:cs="Arial"/>
          <w:szCs w:val="20"/>
          <w:lang w:val="en-US"/>
        </w:rPr>
      </w:pPr>
      <w:r>
        <w:t>DoHA (2007) Business Sector Food Safety Risk Priority Classification Framework.</w:t>
      </w:r>
      <w:r>
        <w:rPr>
          <w:lang w:val="en-AU"/>
        </w:rPr>
        <w:t xml:space="preserve"> </w:t>
      </w:r>
      <w:r>
        <w:t>Australian Department of Health and Ageing</w:t>
      </w:r>
      <w:r>
        <w:rPr>
          <w:lang w:val="en-AU"/>
        </w:rPr>
        <w:t xml:space="preserve">, </w:t>
      </w:r>
      <w:r>
        <w:rPr>
          <w:rFonts w:cs="Arial"/>
          <w:szCs w:val="20"/>
          <w:lang w:val="en-US"/>
        </w:rPr>
        <w:t xml:space="preserve">Canberra.  </w:t>
      </w:r>
    </w:p>
    <w:p w14:paraId="01D28216" w14:textId="77777777" w:rsidR="00700A3D" w:rsidRDefault="00AE10F9" w:rsidP="00700A3D">
      <w:pPr>
        <w:spacing w:before="0" w:after="0"/>
        <w:rPr>
          <w:lang w:val="en-AU"/>
        </w:rPr>
      </w:pPr>
      <w:hyperlink r:id="rId17" w:history="1">
        <w:r w:rsidR="00700A3D">
          <w:rPr>
            <w:rStyle w:val="Hyperlink"/>
            <w:lang w:val="en-AU"/>
          </w:rPr>
          <w:t>https://foodregulation.gov.au/internet/fr/publishing.nsf/Content/risk-profiling-framework</w:t>
        </w:r>
      </w:hyperlink>
      <w:r w:rsidR="00700A3D">
        <w:rPr>
          <w:lang w:val="en-AU"/>
        </w:rPr>
        <w:t xml:space="preserve"> Accessed 20 December 2019</w:t>
      </w:r>
    </w:p>
    <w:p w14:paraId="03D5398C" w14:textId="77777777" w:rsidR="00700A3D" w:rsidRDefault="00700A3D" w:rsidP="00700A3D">
      <w:pPr>
        <w:spacing w:before="0" w:after="0"/>
      </w:pPr>
    </w:p>
    <w:p w14:paraId="260D6224" w14:textId="77777777" w:rsidR="00700A3D" w:rsidRDefault="00700A3D" w:rsidP="00700A3D">
      <w:pPr>
        <w:spacing w:before="0" w:after="0"/>
      </w:pPr>
      <w:r>
        <w:rPr>
          <w:lang w:val="en-AU"/>
        </w:rPr>
        <w:t xml:space="preserve">Forum (2011) Policy Guideline on Food Safety Management for General Food Service and Closely Related Retail Sectors. </w:t>
      </w:r>
      <w:r>
        <w:t>Legislative and Governance Forum on Food Regulation</w:t>
      </w:r>
      <w:r>
        <w:rPr>
          <w:lang w:val="en-AU"/>
        </w:rPr>
        <w:t>, Canberra.</w:t>
      </w:r>
    </w:p>
    <w:p w14:paraId="6A7AC4F9" w14:textId="77777777" w:rsidR="00700A3D" w:rsidRDefault="00AE10F9" w:rsidP="00700A3D">
      <w:pPr>
        <w:spacing w:before="0" w:after="0"/>
        <w:rPr>
          <w:lang w:val="en-AU"/>
        </w:rPr>
      </w:pPr>
      <w:hyperlink r:id="rId18" w:history="1">
        <w:r w:rsidR="00700A3D">
          <w:rPr>
            <w:rStyle w:val="Hyperlink"/>
            <w:lang w:val="en-AU"/>
          </w:rPr>
          <w:t>https://foodregulation.gov.au/internet/fr/publishing.nsf/Content/publication-Food-Safety-Management-Policy-Guideline-for-the-retail-and-food-service-sectors</w:t>
        </w:r>
      </w:hyperlink>
      <w:r w:rsidR="00700A3D">
        <w:rPr>
          <w:lang w:val="en-AU"/>
        </w:rPr>
        <w:t xml:space="preserve">. </w:t>
      </w:r>
    </w:p>
    <w:p w14:paraId="02E38779" w14:textId="77777777" w:rsidR="00700A3D" w:rsidRDefault="00700A3D" w:rsidP="00700A3D">
      <w:pPr>
        <w:spacing w:before="0" w:after="0"/>
        <w:rPr>
          <w:lang w:val="en-AU"/>
        </w:rPr>
      </w:pPr>
      <w:r>
        <w:rPr>
          <w:lang w:val="en-AU"/>
        </w:rPr>
        <w:t>Accessed December 2019.</w:t>
      </w:r>
    </w:p>
    <w:p w14:paraId="6DD0E440" w14:textId="77777777" w:rsidR="00700A3D" w:rsidRDefault="00700A3D" w:rsidP="00700A3D">
      <w:pPr>
        <w:spacing w:before="0" w:after="0"/>
      </w:pPr>
    </w:p>
    <w:p w14:paraId="01D16D68" w14:textId="77777777" w:rsidR="00700A3D" w:rsidRDefault="00700A3D" w:rsidP="00700A3D">
      <w:pPr>
        <w:spacing w:before="0" w:after="0"/>
        <w:rPr>
          <w:lang w:val="en-AU"/>
        </w:rPr>
      </w:pPr>
      <w:r>
        <w:t>FRSC (</w:t>
      </w:r>
      <w:r>
        <w:rPr>
          <w:lang w:val="en-AU"/>
        </w:rPr>
        <w:t xml:space="preserve">2003) Ministerial Policy Guidelines on Food Safety Management in Australia: Food Safety Programs. </w:t>
      </w:r>
      <w:r>
        <w:t>Food Regulation Standing Committee</w:t>
      </w:r>
      <w:r>
        <w:rPr>
          <w:lang w:val="en-AU"/>
        </w:rPr>
        <w:t xml:space="preserve">, Canberra. </w:t>
      </w:r>
      <w:hyperlink r:id="rId19" w:history="1">
        <w:r>
          <w:rPr>
            <w:rStyle w:val="Hyperlink"/>
            <w:lang w:val="en-AU"/>
          </w:rPr>
          <w:t>https://www.foodstandards.gov.au/industry/safetystandards/programs/documents/Food_Safety_Management_in_Aust_Policy_Guidelines.pdf</w:t>
        </w:r>
      </w:hyperlink>
      <w:r>
        <w:rPr>
          <w:lang w:val="en-AU"/>
        </w:rPr>
        <w:t xml:space="preserve"> </w:t>
      </w:r>
    </w:p>
    <w:p w14:paraId="5A5EE674" w14:textId="77777777" w:rsidR="00700A3D" w:rsidRDefault="00700A3D" w:rsidP="00700A3D">
      <w:pPr>
        <w:spacing w:before="0" w:after="0"/>
        <w:rPr>
          <w:lang w:val="en-AU"/>
        </w:rPr>
      </w:pPr>
      <w:r>
        <w:rPr>
          <w:lang w:val="en-AU"/>
        </w:rPr>
        <w:t>Accessed 20 December 2019</w:t>
      </w:r>
    </w:p>
    <w:p w14:paraId="05BBC86A" w14:textId="77777777" w:rsidR="00700A3D" w:rsidRDefault="00700A3D" w:rsidP="00700A3D">
      <w:pPr>
        <w:spacing w:before="0" w:after="0"/>
      </w:pPr>
    </w:p>
    <w:p w14:paraId="10042D94" w14:textId="77777777" w:rsidR="00700A3D" w:rsidRDefault="00700A3D" w:rsidP="00700A3D">
      <w:pPr>
        <w:spacing w:before="0" w:after="0"/>
      </w:pPr>
      <w:r>
        <w:t xml:space="preserve">FSANZ (2016) Safe Food Australia </w:t>
      </w:r>
      <w:hyperlink r:id="rId20" w:history="1">
        <w:r>
          <w:rPr>
            <w:rStyle w:val="Hyperlink"/>
          </w:rPr>
          <w:t>- A Guide to the Food Safety Standards</w:t>
        </w:r>
      </w:hyperlink>
      <w:r>
        <w:t>. Food Standards Australia New Zealand, Canberra.</w:t>
      </w:r>
    </w:p>
    <w:p w14:paraId="0B553A8B" w14:textId="77777777" w:rsidR="00700A3D" w:rsidRDefault="00700A3D" w:rsidP="00700A3D">
      <w:pPr>
        <w:spacing w:before="0" w:after="0"/>
        <w:rPr>
          <w:rStyle w:val="Hyperlink"/>
        </w:rPr>
      </w:pPr>
      <w:r>
        <w:rPr>
          <w:rStyle w:val="Hyperlink"/>
        </w:rPr>
        <w:t xml:space="preserve"> </w:t>
      </w:r>
      <w:hyperlink r:id="rId21" w:history="1">
        <w:r>
          <w:rPr>
            <w:rStyle w:val="Hyperlink"/>
          </w:rPr>
          <w:t>http://www.foodstandards.gov.au/foodsafety/standards/Pages/Safe-Food-Australia-%E2%80%93-A-guide-to-the-Food-Safety-Standards.aspx</w:t>
        </w:r>
      </w:hyperlink>
    </w:p>
    <w:p w14:paraId="5FB3ADAD" w14:textId="77777777" w:rsidR="00700A3D" w:rsidRDefault="00700A3D" w:rsidP="00700A3D">
      <w:pPr>
        <w:spacing w:before="0" w:after="0"/>
      </w:pPr>
      <w:r>
        <w:rPr>
          <w:rStyle w:val="Hyperlink"/>
        </w:rPr>
        <w:t>Accessed 10 January 2020</w:t>
      </w:r>
    </w:p>
    <w:p w14:paraId="0B1AB51F" w14:textId="77777777" w:rsidR="00700A3D" w:rsidRDefault="00700A3D" w:rsidP="00700A3D">
      <w:pPr>
        <w:spacing w:before="0" w:after="0"/>
      </w:pPr>
    </w:p>
    <w:p w14:paraId="1AA30FA0" w14:textId="77777777" w:rsidR="00700A3D" w:rsidRDefault="00700A3D" w:rsidP="00700A3D">
      <w:pPr>
        <w:spacing w:before="0" w:after="0"/>
      </w:pPr>
      <w:r>
        <w:lastRenderedPageBreak/>
        <w:t>Kassa H, Silverman G S and Baroudi K (2010)  Effect of a Manager Training and Certification Program on Food Safety and Hygiene in Food Service Operations.  Environmental Health Insights 2010(4): 1320.</w:t>
      </w:r>
    </w:p>
    <w:p w14:paraId="7C9B2ACA" w14:textId="77777777" w:rsidR="00700A3D" w:rsidRDefault="00700A3D" w:rsidP="00700A3D">
      <w:pPr>
        <w:spacing w:before="0" w:after="0"/>
      </w:pPr>
    </w:p>
    <w:p w14:paraId="67C57407" w14:textId="77777777" w:rsidR="00700A3D" w:rsidRDefault="00700A3D" w:rsidP="00700A3D">
      <w:pPr>
        <w:spacing w:before="0" w:after="0"/>
      </w:pPr>
      <w:r>
        <w:t>Kirk M, Glass K, Ford L,  Brown K and Hall G (2014) Foodborne Illness in Australia: Annual incidence circa 2010. Department of Health and Ageing, Canberra</w:t>
      </w:r>
    </w:p>
    <w:p w14:paraId="1D011912" w14:textId="77777777" w:rsidR="00700A3D" w:rsidRDefault="00AE10F9" w:rsidP="00700A3D">
      <w:pPr>
        <w:spacing w:before="0" w:after="0"/>
      </w:pPr>
      <w:hyperlink r:id="rId22" w:history="1">
        <w:r w:rsidR="00700A3D">
          <w:rPr>
            <w:rStyle w:val="Hyperlink"/>
          </w:rPr>
          <w:t>https://www1.health.gov.au/internet/main/publishing.nsf/Content/E829FA59A59677C0CA257D6A007D2C97/$File/Foodborne-Illness-Australia-circa-2010.pdf</w:t>
        </w:r>
      </w:hyperlink>
    </w:p>
    <w:p w14:paraId="4E2B89ED" w14:textId="77777777" w:rsidR="00700A3D" w:rsidRDefault="00700A3D" w:rsidP="00700A3D">
      <w:pPr>
        <w:spacing w:before="0" w:after="0"/>
      </w:pPr>
      <w:r>
        <w:t>Accessed January 2020</w:t>
      </w:r>
    </w:p>
    <w:p w14:paraId="77572063" w14:textId="77777777" w:rsidR="00700A3D" w:rsidRDefault="00700A3D" w:rsidP="00700A3D">
      <w:pPr>
        <w:spacing w:before="0" w:after="0"/>
      </w:pPr>
    </w:p>
    <w:p w14:paraId="64826741" w14:textId="77777777" w:rsidR="00700A3D" w:rsidRDefault="00700A3D" w:rsidP="00700A3D">
      <w:pPr>
        <w:spacing w:before="0" w:after="0"/>
      </w:pPr>
      <w:r>
        <w:t xml:space="preserve">Ross T, </w:t>
      </w:r>
      <w:r>
        <w:rPr>
          <w:b/>
        </w:rPr>
        <w:t xml:space="preserve"> </w:t>
      </w:r>
      <w:r>
        <w:t>Mellefont L, McQuestin O,  Haines H, Smith J (</w:t>
      </w:r>
      <w:r>
        <w:rPr>
          <w:lang w:val="en-AU"/>
        </w:rPr>
        <w:t xml:space="preserve">2009) </w:t>
      </w:r>
      <w:r>
        <w:t>Risk Profiling Framework Example Classifications (Extracts), prepared for Department of Health and Ageing, Canberra</w:t>
      </w:r>
    </w:p>
    <w:p w14:paraId="79C01B07" w14:textId="77777777" w:rsidR="00700A3D" w:rsidRDefault="00AE10F9" w:rsidP="00700A3D">
      <w:pPr>
        <w:spacing w:before="0" w:after="0"/>
      </w:pPr>
      <w:hyperlink r:id="rId23" w:history="1">
        <w:r w:rsidR="00700A3D">
          <w:rPr>
            <w:rStyle w:val="Hyperlink"/>
          </w:rPr>
          <w:t>https://foodregulation.gov.au/internet/fr/publishing.nsf/Content/37F08208FAC6F504CA2582A40027AA90/$File/FRSC-RPF-ECE.docx</w:t>
        </w:r>
      </w:hyperlink>
      <w:r w:rsidR="00700A3D">
        <w:t xml:space="preserve"> </w:t>
      </w:r>
    </w:p>
    <w:p w14:paraId="59D9C364" w14:textId="77777777" w:rsidR="00700A3D" w:rsidRDefault="00700A3D" w:rsidP="00700A3D">
      <w:pPr>
        <w:spacing w:before="0" w:after="0"/>
      </w:pPr>
      <w:r>
        <w:t>Accessed December 2019</w:t>
      </w:r>
    </w:p>
    <w:p w14:paraId="1229CA3E" w14:textId="77777777" w:rsidR="00700A3D" w:rsidRDefault="00700A3D" w:rsidP="00700A3D">
      <w:pPr>
        <w:spacing w:before="0" w:after="0"/>
      </w:pPr>
    </w:p>
    <w:p w14:paraId="68406A1D" w14:textId="77777777" w:rsidR="00700A3D" w:rsidRDefault="00700A3D" w:rsidP="00700A3D">
      <w:pPr>
        <w:spacing w:before="0" w:after="0"/>
      </w:pPr>
      <w:r>
        <w:rPr>
          <w:rFonts w:cs="Arial"/>
        </w:rPr>
        <w:t>Todd E (2007) Outbreaks where food workers have been implicated in the spread of foodborne disease. Part 3. Factors contributing to outbreaks and description of outbreak categories. Journal of Food Protection 70(9): 2199–2217</w:t>
      </w:r>
    </w:p>
    <w:p w14:paraId="0A33C037" w14:textId="77777777" w:rsidR="00700A3D" w:rsidRDefault="00700A3D" w:rsidP="00700A3D">
      <w:pPr>
        <w:spacing w:before="0" w:after="0"/>
      </w:pPr>
    </w:p>
    <w:p w14:paraId="7E61C41C" w14:textId="77777777" w:rsidR="00700A3D" w:rsidRDefault="00700A3D" w:rsidP="00700A3D">
      <w:pPr>
        <w:spacing w:before="0" w:after="0"/>
      </w:pPr>
      <w:r>
        <w:br w:type="page"/>
      </w:r>
    </w:p>
    <w:p w14:paraId="07AD66FA" w14:textId="77777777" w:rsidR="00700A3D" w:rsidRDefault="00700A3D" w:rsidP="00700A3D">
      <w:pPr>
        <w:pStyle w:val="Heading1"/>
        <w:ind w:left="0" w:firstLine="0"/>
      </w:pPr>
      <w:bookmarkStart w:id="45" w:name="_Toc33094526"/>
      <w:r>
        <w:lastRenderedPageBreak/>
        <w:t>Appendix 1</w:t>
      </w:r>
      <w:r>
        <w:tab/>
        <w:t>Current measures to manage food safety risks</w:t>
      </w:r>
      <w:bookmarkEnd w:id="45"/>
    </w:p>
    <w:p w14:paraId="22544197" w14:textId="77777777" w:rsidR="00700A3D" w:rsidRDefault="00700A3D" w:rsidP="00700A3D">
      <w:pPr>
        <w:pStyle w:val="Heading2"/>
      </w:pPr>
      <w:bookmarkStart w:id="46" w:name="_Toc33094527"/>
      <w:r>
        <w:t>1.</w:t>
      </w:r>
      <w:r>
        <w:tab/>
        <w:t>Regulatory measures</w:t>
      </w:r>
      <w:bookmarkEnd w:id="46"/>
    </w:p>
    <w:p w14:paraId="1564FD3F" w14:textId="77777777" w:rsidR="00700A3D" w:rsidRDefault="00700A3D" w:rsidP="0062121C">
      <w:r>
        <w:t xml:space="preserve">Food safety is managed by a number of standards in the Australia New Zealand Food Standards Code, including Food Safety Standards (Chapter 3). </w:t>
      </w:r>
    </w:p>
    <w:p w14:paraId="5E5426FD" w14:textId="77777777" w:rsidR="00700A3D" w:rsidRDefault="00700A3D" w:rsidP="0062121C">
      <w:r>
        <w:t xml:space="preserve">Chapter 3 of the </w:t>
      </w:r>
      <w:r>
        <w:rPr>
          <w:i/>
          <w:lang w:eastAsia="en-AU"/>
        </w:rPr>
        <w:t xml:space="preserve">Australia New Zealand Food Standards Code </w:t>
      </w:r>
      <w:r>
        <w:rPr>
          <w:lang w:eastAsia="en-AU"/>
        </w:rPr>
        <w:t>(the Code)</w:t>
      </w:r>
      <w:r>
        <w:rPr>
          <w:rStyle w:val="FootnoteReference"/>
          <w:lang w:eastAsia="en-AU"/>
        </w:rPr>
        <w:footnoteReference w:id="9"/>
      </w:r>
      <w:r>
        <w:rPr>
          <w:lang w:eastAsia="en-AU"/>
        </w:rPr>
        <w:t xml:space="preserve"> </w:t>
      </w:r>
      <w:r>
        <w:t xml:space="preserve">provides minimum food safety requirements to ensure that a food business handles and sells safe and suitable food. </w:t>
      </w:r>
      <w:r>
        <w:rPr>
          <w:i/>
        </w:rPr>
        <w:t>Safe Food Australia – A guide to the Food Safety Standards</w:t>
      </w:r>
      <w:r>
        <w:rPr>
          <w:rStyle w:val="FootnoteReference"/>
        </w:rPr>
        <w:footnoteReference w:id="10"/>
      </w:r>
      <w:r>
        <w:rPr>
          <w:i/>
        </w:rPr>
        <w:t xml:space="preserve"> </w:t>
      </w:r>
      <w:r>
        <w:t>(the Guide); provides information on how a business may meet Chapter 3 requirements. The document is primarily intended to assist food enforcement agencies enforce the Code.</w:t>
      </w:r>
    </w:p>
    <w:p w14:paraId="5D688E3A" w14:textId="77777777" w:rsidR="00700A3D" w:rsidRDefault="00700A3D" w:rsidP="0062121C">
      <w:r>
        <w:t xml:space="preserve">Standard 3.2.1 enables states and territories to require food businesses to implement a food safety program based on HACCP (hazard analysis and critical control points) principles. The HACCP concept is a systematic approach to identifying and controlling risks. </w:t>
      </w:r>
    </w:p>
    <w:p w14:paraId="0F252A81" w14:textId="77777777" w:rsidR="00700A3D" w:rsidRDefault="00700A3D" w:rsidP="0062121C">
      <w:r>
        <w:t xml:space="preserve">Standard 3.2.2 outlines base food safety requirements for good hygienic practices for all food businesses. This standard specifies process control requirements to be satisfied at each step of the food handling process: receipt, storage, processing, display, packaging, distribution disposal, and recall of food. Other requirements relate to the skills and knowledge of food handlers and their supervisors, the health and hygiene of food handlers, and the cleaning, sanitising and maintenance of equipment. </w:t>
      </w:r>
    </w:p>
    <w:p w14:paraId="1FDC4BC4" w14:textId="77777777" w:rsidR="00700A3D" w:rsidRDefault="00700A3D" w:rsidP="0062121C">
      <w:r>
        <w:t>Standard 3.2.3 provides requirements relating to the food premises, food transport vehicles and associated fixtures and fittings used by food businesses.</w:t>
      </w:r>
    </w:p>
    <w:p w14:paraId="61535AD2" w14:textId="77777777" w:rsidR="00700A3D" w:rsidRDefault="00700A3D" w:rsidP="00700A3D">
      <w:pPr>
        <w:pStyle w:val="Heading2"/>
      </w:pPr>
      <w:bookmarkStart w:id="47" w:name="_Toc33094528"/>
      <w:r>
        <w:t>2.</w:t>
      </w:r>
      <w:r>
        <w:tab/>
        <w:t>Other food safety tools</w:t>
      </w:r>
      <w:bookmarkEnd w:id="47"/>
    </w:p>
    <w:p w14:paraId="55D0021B" w14:textId="77777777" w:rsidR="00700A3D" w:rsidRDefault="00700A3D" w:rsidP="00700A3D">
      <w:pPr>
        <w:pStyle w:val="Heading3"/>
        <w:rPr>
          <w:lang w:val="en-US"/>
        </w:rPr>
      </w:pPr>
      <w:bookmarkStart w:id="48" w:name="_Toc33094529"/>
      <w:r>
        <w:rPr>
          <w:lang w:val="en-US"/>
        </w:rPr>
        <w:t>2.1</w:t>
      </w:r>
      <w:r>
        <w:rPr>
          <w:lang w:val="en-US"/>
        </w:rPr>
        <w:tab/>
        <w:t>Voluntary food safety training</w:t>
      </w:r>
      <w:bookmarkEnd w:id="48"/>
    </w:p>
    <w:p w14:paraId="27ED9B27" w14:textId="77777777" w:rsidR="00700A3D" w:rsidRDefault="00700A3D" w:rsidP="0062121C">
      <w:pPr>
        <w:rPr>
          <w:lang w:val="en-US"/>
        </w:rPr>
      </w:pPr>
      <w:r>
        <w:rPr>
          <w:lang w:val="en-US"/>
        </w:rPr>
        <w:t>Many states and territories and local councils provide some form of voluntary training to food businesses. The training can be general food safety training, or targeted to food businesses, to address specific food safety issues.</w:t>
      </w:r>
    </w:p>
    <w:p w14:paraId="6165FCBC" w14:textId="77777777" w:rsidR="00700A3D" w:rsidRDefault="00700A3D" w:rsidP="00700A3D">
      <w:pPr>
        <w:pStyle w:val="Heading3"/>
        <w:rPr>
          <w:lang w:val="en-US"/>
        </w:rPr>
      </w:pPr>
      <w:bookmarkStart w:id="49" w:name="_Toc33094530"/>
      <w:r>
        <w:rPr>
          <w:lang w:val="en-US"/>
        </w:rPr>
        <w:t>2.2</w:t>
      </w:r>
      <w:r>
        <w:rPr>
          <w:lang w:val="en-US"/>
        </w:rPr>
        <w:tab/>
        <w:t>Performance rating scheme</w:t>
      </w:r>
      <w:bookmarkEnd w:id="49"/>
    </w:p>
    <w:p w14:paraId="209DA2C6" w14:textId="77777777" w:rsidR="00700A3D" w:rsidRDefault="00700A3D" w:rsidP="0062121C">
      <w:pPr>
        <w:rPr>
          <w:highlight w:val="yellow"/>
        </w:rPr>
      </w:pPr>
      <w:r>
        <w:rPr>
          <w:lang w:val="en-US"/>
        </w:rPr>
        <w:t>Performance rating schemes include the public display of inspection ratings of food businesses; for example, the ‘Scores on Doors’ scheme. Almost all states have at least some councils that have implemented a voluntary performance rating system. These schemes are designed to encourage food businesses to comply with food hygiene requirements, as they enable the public to ‘vote with their feet’ by choosing businesses that receive higher ratings.</w:t>
      </w:r>
    </w:p>
    <w:p w14:paraId="5A7A3DAD" w14:textId="77777777" w:rsidR="00700A3D" w:rsidRDefault="00700A3D" w:rsidP="00700A3D">
      <w:pPr>
        <w:pStyle w:val="Heading3"/>
      </w:pPr>
      <w:bookmarkStart w:id="50" w:name="_Toc33094531"/>
      <w:r>
        <w:t>2.3</w:t>
      </w:r>
      <w:r>
        <w:tab/>
        <w:t>Monitoring templates</w:t>
      </w:r>
      <w:bookmarkEnd w:id="50"/>
    </w:p>
    <w:p w14:paraId="1E9CF515" w14:textId="1E364569" w:rsidR="00700A3D" w:rsidRDefault="00700A3D" w:rsidP="0062121C">
      <w:r>
        <w:t xml:space="preserve">In many jurisdictions, authorised officers request businesses provide evidence for activities where PHF is handled (e.g. temperature control), although record keeping is not mandatory. </w:t>
      </w:r>
      <w:r>
        <w:lastRenderedPageBreak/>
        <w:t xml:space="preserve">Templates have been developed (by jurisdictions and in Safe Food Australia) to help businesses meet this expectation. </w:t>
      </w:r>
    </w:p>
    <w:p w14:paraId="0672FB4D" w14:textId="77777777" w:rsidR="00700A3D" w:rsidRDefault="00700A3D" w:rsidP="00700A3D">
      <w:pPr>
        <w:pStyle w:val="Heading3"/>
      </w:pPr>
      <w:bookmarkStart w:id="51" w:name="_Toc33094532"/>
      <w:r>
        <w:t>2.4</w:t>
      </w:r>
      <w:r>
        <w:tab/>
        <w:t>Food safety culture</w:t>
      </w:r>
      <w:bookmarkEnd w:id="51"/>
    </w:p>
    <w:p w14:paraId="041F7631" w14:textId="77777777" w:rsidR="00700A3D" w:rsidRDefault="00700A3D" w:rsidP="0062121C">
      <w:r>
        <w:t>Food safety culture in a food business is how everyone (owners, managers, employees) thinks and behaves in their daily job to make sure the food they make or serve is safe. Food safety culture is one of the focal areas in Australia's Foodborne Illness Reduction Strategy 2018–2021</w:t>
      </w:r>
      <w:r>
        <w:rPr>
          <w:vertAlign w:val="superscript"/>
        </w:rPr>
        <w:t>+</w:t>
      </w:r>
      <w:r>
        <w:t xml:space="preserve"> with several initiatives already underway. Regulators are working closely with authorised officers and selected food businesses (including businesses in-scope of this Proposal), to promote the importance of a strong culture, supported through resources and training. The aim is to encourage behavioural change, improve awareness of food safety risks and strengthen commitment to managing those risks.</w:t>
      </w:r>
      <w:r>
        <w:br w:type="page"/>
      </w:r>
    </w:p>
    <w:p w14:paraId="4605F8A3" w14:textId="77777777" w:rsidR="00700A3D" w:rsidRDefault="00700A3D" w:rsidP="00700A3D">
      <w:pPr>
        <w:pStyle w:val="Heading1"/>
      </w:pPr>
      <w:bookmarkStart w:id="52" w:name="_Toc33094533"/>
      <w:r>
        <w:lastRenderedPageBreak/>
        <w:t>Appendix 2 Food regulatory activities and decisions</w:t>
      </w:r>
      <w:bookmarkEnd w:id="52"/>
    </w:p>
    <w:p w14:paraId="6E205FF3" w14:textId="77777777" w:rsidR="00700A3D" w:rsidRDefault="00700A3D" w:rsidP="0062121C">
      <w:pPr>
        <w:rPr>
          <w:lang w:val="en-AU"/>
        </w:rPr>
      </w:pPr>
      <w:r>
        <w:rPr>
          <w:lang w:val="en-AU"/>
        </w:rPr>
        <w:t>Taking into account population changes and improved knowledge and methodologies, rates of foodborne gastroenteritis did not change significantly between 2000 and 2010 (</w:t>
      </w:r>
      <w:r>
        <w:t>Kirk et al. 2014)</w:t>
      </w:r>
      <w:r>
        <w:rPr>
          <w:lang w:val="en-AU"/>
        </w:rPr>
        <w:t xml:space="preserve">. </w:t>
      </w:r>
      <w:r>
        <w:rPr>
          <w:lang w:eastAsia="en-AU"/>
        </w:rPr>
        <w:t>Many outbreaks continue to be linked to the food service and closely related retail settings (O</w:t>
      </w:r>
      <w:r>
        <w:rPr>
          <w:lang w:val="en-AU"/>
        </w:rPr>
        <w:t xml:space="preserve">zFoodNet data 2004 to 2015). Food regulators have agreed food safety is difficult to manage in these sectors and that improvements are needed. </w:t>
      </w:r>
    </w:p>
    <w:p w14:paraId="6B0DEC34" w14:textId="77777777" w:rsidR="00700A3D" w:rsidRDefault="00700A3D" w:rsidP="0062121C">
      <w:pPr>
        <w:rPr>
          <w:lang w:val="en-AU"/>
        </w:rPr>
      </w:pPr>
      <w:r>
        <w:rPr>
          <w:lang w:val="en-AU"/>
        </w:rPr>
        <w:t>Significant work has been done to identify the high-risk sectors and come up with options to strengthen food safety management in these sectors. Key activities and decisions by the food regulatory system aimed at improving food safety management and public health outcomes are described below.</w:t>
      </w:r>
    </w:p>
    <w:p w14:paraId="102B7BB5" w14:textId="77777777" w:rsidR="00700A3D" w:rsidRDefault="00700A3D" w:rsidP="00700A3D">
      <w:pPr>
        <w:pStyle w:val="Heading2"/>
      </w:pPr>
      <w:bookmarkStart w:id="53" w:name="_Toc33094534"/>
      <w:r>
        <w:t>1.</w:t>
      </w:r>
      <w:r>
        <w:tab/>
        <w:t>Ministerial policy guideline (2003)</w:t>
      </w:r>
      <w:bookmarkEnd w:id="53"/>
    </w:p>
    <w:p w14:paraId="6F35891F" w14:textId="77777777" w:rsidR="00700A3D" w:rsidRDefault="00700A3D" w:rsidP="0062121C">
      <w:r>
        <w:t xml:space="preserve">In the early 2000s, ministers responsible for food regulation recognised the need for stronger food safety management in certain sectors. The 2003 Ministerial Policy Guideline on Food Safety Management in Australia (FRSC 2003) was subsequently developed and endorsed by food ministers (the then Australia New Zealand Food Regulation Ministerial Council). This guideline requested FSANZ implement food safety programs in four sectors in Australia: </w:t>
      </w:r>
    </w:p>
    <w:p w14:paraId="73DA5734" w14:textId="77777777" w:rsidR="00700A3D" w:rsidRDefault="00700A3D" w:rsidP="0062121C">
      <w:pPr>
        <w:pStyle w:val="ListParagraph"/>
        <w:numPr>
          <w:ilvl w:val="0"/>
          <w:numId w:val="33"/>
        </w:numPr>
      </w:pPr>
      <w:r>
        <w:t xml:space="preserve">food service to vulnerable persons (e.g. hospitals, aged care facilities, delivered meals organisations and childcare centres) </w:t>
      </w:r>
    </w:p>
    <w:p w14:paraId="1A506A4B" w14:textId="77777777" w:rsidR="00700A3D" w:rsidRDefault="00700A3D" w:rsidP="0062121C">
      <w:pPr>
        <w:pStyle w:val="ListParagraph"/>
        <w:numPr>
          <w:ilvl w:val="0"/>
          <w:numId w:val="33"/>
        </w:numPr>
      </w:pPr>
      <w:r>
        <w:t>producers, harvesters, processors and vendors of raw RTE seafood</w:t>
      </w:r>
    </w:p>
    <w:p w14:paraId="1A0A713A" w14:textId="77777777" w:rsidR="00700A3D" w:rsidRDefault="00700A3D" w:rsidP="0062121C">
      <w:pPr>
        <w:pStyle w:val="ListParagraph"/>
        <w:numPr>
          <w:ilvl w:val="0"/>
          <w:numId w:val="33"/>
        </w:numPr>
      </w:pPr>
      <w:r>
        <w:t xml:space="preserve">producers of manufactured and fermented meats </w:t>
      </w:r>
    </w:p>
    <w:p w14:paraId="1DA67778" w14:textId="77777777" w:rsidR="00700A3D" w:rsidRDefault="00700A3D" w:rsidP="0062121C">
      <w:pPr>
        <w:pStyle w:val="ListParagraph"/>
        <w:numPr>
          <w:ilvl w:val="0"/>
          <w:numId w:val="33"/>
        </w:numPr>
      </w:pPr>
      <w:r>
        <w:t>catering operations servicing food to the general public.</w:t>
      </w:r>
    </w:p>
    <w:p w14:paraId="1641EF51" w14:textId="77777777" w:rsidR="00700A3D" w:rsidRDefault="00700A3D" w:rsidP="0062121C">
      <w:r>
        <w:t>National standards are now in place for the first three sectors. FSANZ  commenced Proposal P290 – Food Safety Programs for Catering Operations (P290) in 2004 to address the final sector. This Proposal was put on hold in 2008, largely due to difficulties specifying the businesses the proposed standard would apply to, and pending further ministerial consideration.</w:t>
      </w:r>
    </w:p>
    <w:p w14:paraId="7A86BD28" w14:textId="77777777" w:rsidR="00700A3D" w:rsidRDefault="00700A3D" w:rsidP="00700A3D">
      <w:pPr>
        <w:pStyle w:val="Heading2"/>
      </w:pPr>
      <w:bookmarkStart w:id="54" w:name="_Toc33094535"/>
      <w:r>
        <w:t>2.</w:t>
      </w:r>
      <w:r>
        <w:tab/>
        <w:t>Risk profiling framework</w:t>
      </w:r>
      <w:bookmarkEnd w:id="54"/>
    </w:p>
    <w:p w14:paraId="1E13935B" w14:textId="77777777" w:rsidR="00700A3D" w:rsidRDefault="00700A3D" w:rsidP="0062121C">
      <w:r>
        <w:t xml:space="preserve">Improved understanding of food safety risks led to development of a formal risk profiling framework (RPF). In 2007, this framework was endorsed as the nationally agreed tool for government to classify business sectors based on food safety risk (DoHA 2007). A ‘four-tier’ format indicating risk level was recommended – Priority 1, 2, 3 and 4. Example classifications accompanied the RPF, including for 32 business types in the food service and closely related retail sectors. </w:t>
      </w:r>
    </w:p>
    <w:p w14:paraId="7008CC38" w14:textId="77777777" w:rsidR="00700A3D" w:rsidRDefault="00700A3D" w:rsidP="00700A3D">
      <w:pPr>
        <w:pStyle w:val="Heading2"/>
      </w:pPr>
      <w:bookmarkStart w:id="55" w:name="_Toc33094536"/>
      <w:r>
        <w:t>3.</w:t>
      </w:r>
      <w:r>
        <w:tab/>
        <w:t>Revised ministerial policy guideline (2011)</w:t>
      </w:r>
      <w:bookmarkEnd w:id="55"/>
    </w:p>
    <w:p w14:paraId="1C8F6919" w14:textId="77777777" w:rsidR="00700A3D" w:rsidRDefault="00700A3D" w:rsidP="0062121C">
      <w:r>
        <w:t xml:space="preserve">Recognising foodborne illness’ ongoing association with the sector, and the difficulties identified in P290, the Ministerial Council agreed to review the 2003 policy guideline. The review considered if a broader range of risk management tools (other than mandatory food safety plans) was needed. Ministers noted that FSANZ deferred work on P290 pending outcomes of this review. </w:t>
      </w:r>
    </w:p>
    <w:p w14:paraId="62358902" w14:textId="77777777" w:rsidR="003D1BD9" w:rsidRDefault="003D1BD9">
      <w:pPr>
        <w:spacing w:before="0" w:after="0"/>
      </w:pPr>
      <w:r>
        <w:br w:type="page"/>
      </w:r>
    </w:p>
    <w:p w14:paraId="44BF9529" w14:textId="382AEF92" w:rsidR="00700A3D" w:rsidRDefault="00700A3D" w:rsidP="0062121C">
      <w:r>
        <w:lastRenderedPageBreak/>
        <w:t xml:space="preserve">Independent experts reviewed the example classifications for the food service and closely related retail sectors accompanying the RPF (Ross et al 2009). The classification of eight high-risk business types (of the initial 32) was finalised by the then Department of Health and Ageing (DoHA). </w:t>
      </w:r>
    </w:p>
    <w:p w14:paraId="04CA1EC3" w14:textId="77777777" w:rsidR="00700A3D" w:rsidRDefault="00700A3D" w:rsidP="0062121C">
      <w:r>
        <w:t>These eight business types were included in the revised</w:t>
      </w:r>
      <w:r>
        <w:rPr>
          <w:rFonts w:asciiTheme="minorHAnsi" w:hAnsiTheme="minorHAnsi" w:cstheme="minorHAnsi"/>
          <w:sz w:val="20"/>
          <w:szCs w:val="20"/>
        </w:rPr>
        <w:t xml:space="preserve"> </w:t>
      </w:r>
      <w:r>
        <w:t>Ministerial Policy Guideline on Food Safety Management for General Food Service and Closely Related Retail Sectors (the Policy Guideline) (</w:t>
      </w:r>
      <w:r>
        <w:rPr>
          <w:lang w:val="en-AU"/>
        </w:rPr>
        <w:t>Forum 2011)</w:t>
      </w:r>
      <w:r>
        <w:t>. This guideline provides a framework for developing nationally consistent food safety management arrangements in Australia for these sectors. A Strategy for Implementation of the Policy Guideline was also developed to provide guidance to FSANZ and the Implementation Subcommittee for Food Regulation (ISFR).</w:t>
      </w:r>
    </w:p>
    <w:p w14:paraId="590AE2A6" w14:textId="77777777" w:rsidR="00700A3D" w:rsidRDefault="00700A3D" w:rsidP="0062121C">
      <w:r>
        <w:t>The Policy Guideline and associated implementation strategy introduced the principle of ‘appropriateness’, which is designed to work iteratively with ‘risk’ and ‘cost–benefit’ principles during analysis. The appropriateness concept requires consideration of whether a proposed risk management approach, including its verification, is likely to be practical and feasible in the context of the business type and setting. The guideline lists criteria to assist in evaluating the appropriateness of risk management tools.</w:t>
      </w:r>
    </w:p>
    <w:p w14:paraId="11A5E2E8" w14:textId="77777777" w:rsidR="00700A3D" w:rsidRDefault="00700A3D" w:rsidP="00700A3D">
      <w:pPr>
        <w:pStyle w:val="Heading2"/>
      </w:pPr>
      <w:bookmarkStart w:id="56" w:name="_Toc33094537"/>
      <w:r>
        <w:rPr>
          <w:lang w:eastAsia="en-AU"/>
        </w:rPr>
        <w:t>4.</w:t>
      </w:r>
      <w:r>
        <w:rPr>
          <w:lang w:eastAsia="en-AU"/>
        </w:rPr>
        <w:tab/>
      </w:r>
      <w:r>
        <w:t>Food Safety Management Working Group</w:t>
      </w:r>
      <w:bookmarkEnd w:id="56"/>
    </w:p>
    <w:p w14:paraId="23FEA7A3" w14:textId="77777777" w:rsidR="00700A3D" w:rsidRDefault="00700A3D" w:rsidP="0062121C">
      <w:r>
        <w:t>To implement the Policy Guidelines, a government food safety management working group (FSM WG) was tasked with:</w:t>
      </w:r>
    </w:p>
    <w:p w14:paraId="7B71EB62" w14:textId="77777777" w:rsidR="00700A3D" w:rsidRDefault="00700A3D" w:rsidP="0062121C">
      <w:pPr>
        <w:pStyle w:val="ListParagraph"/>
        <w:numPr>
          <w:ilvl w:val="0"/>
          <w:numId w:val="34"/>
        </w:numPr>
      </w:pPr>
      <w:r>
        <w:t>a technical analysis of current Chapter 3 requirements</w:t>
      </w:r>
    </w:p>
    <w:p w14:paraId="5C600044" w14:textId="77777777" w:rsidR="00700A3D" w:rsidRDefault="00700A3D" w:rsidP="0062121C">
      <w:pPr>
        <w:pStyle w:val="ListParagraph"/>
        <w:numPr>
          <w:ilvl w:val="0"/>
          <w:numId w:val="34"/>
        </w:numPr>
      </w:pPr>
      <w:r>
        <w:t>identifying a range of food safety management tools proportionate to risk for the food service/retail sectors.</w:t>
      </w:r>
    </w:p>
    <w:p w14:paraId="69F71FAB" w14:textId="77777777" w:rsidR="00700A3D" w:rsidRDefault="00700A3D" w:rsidP="0062121C">
      <w:r>
        <w:t>The FSM WG considered potential tools and justification for their use with P1 and P2 businesses based on risk, appropriateness and cost–benefit analysis (using case studies).</w:t>
      </w:r>
    </w:p>
    <w:p w14:paraId="4886E3B3" w14:textId="77777777" w:rsidR="00700A3D" w:rsidRDefault="00700A3D" w:rsidP="00700A3D">
      <w:pPr>
        <w:pStyle w:val="Heading3"/>
      </w:pPr>
      <w:bookmarkStart w:id="57" w:name="_Toc33094538"/>
      <w:r>
        <w:t>4.1</w:t>
      </w:r>
      <w:r>
        <w:tab/>
        <w:t>Technical analysis</w:t>
      </w:r>
      <w:bookmarkEnd w:id="57"/>
    </w:p>
    <w:p w14:paraId="79DA182D" w14:textId="77777777" w:rsidR="00700A3D" w:rsidRDefault="00700A3D" w:rsidP="0062121C">
      <w:r>
        <w:t xml:space="preserve">The working group concluded that Standards 3.2.2 and 3.2.3 cover the food safety outcomes that must be achieved. However, these standards contain no requirement for documenting how those outcomes are to be achieved, and do not mandate that records demonstrating compliance are kept. Standards 3.2.2 and 3.2.3 were considered sufficient for businesses to identify food safety risks, but insufficient for managing those risks (for in-scope businesses). </w:t>
      </w:r>
    </w:p>
    <w:p w14:paraId="3EDE617F" w14:textId="77777777" w:rsidR="00700A3D" w:rsidRDefault="00700A3D" w:rsidP="00700A3D">
      <w:pPr>
        <w:pStyle w:val="Heading3"/>
      </w:pPr>
      <w:bookmarkStart w:id="58" w:name="_Toc33094539"/>
      <w:r>
        <w:t>4.2</w:t>
      </w:r>
      <w:r>
        <w:tab/>
        <w:t>Identified risk management measures</w:t>
      </w:r>
      <w:bookmarkEnd w:id="58"/>
    </w:p>
    <w:p w14:paraId="744F1562" w14:textId="77777777" w:rsidR="00700A3D" w:rsidRDefault="00700A3D" w:rsidP="00700A3D">
      <w:r>
        <w:t xml:space="preserve">Additional tools to manage food safety risks were identified by the working group: </w:t>
      </w:r>
    </w:p>
    <w:p w14:paraId="18F43F0C" w14:textId="77777777" w:rsidR="00700A3D" w:rsidRDefault="00700A3D" w:rsidP="0062121C">
      <w:pPr>
        <w:pStyle w:val="ListParagraph"/>
        <w:numPr>
          <w:ilvl w:val="0"/>
          <w:numId w:val="11"/>
        </w:numPr>
      </w:pPr>
      <w:r>
        <w:t>Regulatory</w:t>
      </w:r>
    </w:p>
    <w:p w14:paraId="6D237F4E" w14:textId="77777777" w:rsidR="00700A3D" w:rsidRDefault="00700A3D" w:rsidP="0062121C">
      <w:pPr>
        <w:pStyle w:val="ListParagraph"/>
        <w:numPr>
          <w:ilvl w:val="0"/>
          <w:numId w:val="12"/>
        </w:numPr>
      </w:pPr>
      <w:r>
        <w:t xml:space="preserve">evidence of skills and knowledge (acquired through mandatory training with nationally agreed competencies) </w:t>
      </w:r>
    </w:p>
    <w:p w14:paraId="05D7CC46" w14:textId="77777777" w:rsidR="00700A3D" w:rsidRPr="003F0323" w:rsidRDefault="00700A3D" w:rsidP="0062121C">
      <w:pPr>
        <w:pStyle w:val="ListParagraph"/>
        <w:numPr>
          <w:ilvl w:val="0"/>
          <w:numId w:val="12"/>
        </w:numPr>
      </w:pPr>
      <w:r>
        <w:t xml:space="preserve">evidence of skills and knowledge (acquired through non-competency based </w:t>
      </w:r>
      <w:r w:rsidRPr="003F0323">
        <w:t xml:space="preserve">mandatory training) </w:t>
      </w:r>
    </w:p>
    <w:p w14:paraId="42C45380" w14:textId="77777777" w:rsidR="00700A3D" w:rsidRPr="003F0323" w:rsidRDefault="00700A3D" w:rsidP="0062121C">
      <w:pPr>
        <w:pStyle w:val="ListParagraph"/>
        <w:numPr>
          <w:ilvl w:val="0"/>
          <w:numId w:val="12"/>
        </w:numPr>
      </w:pPr>
      <w:r w:rsidRPr="003F0323">
        <w:t>evidence that key activities and processes are being controlled</w:t>
      </w:r>
    </w:p>
    <w:p w14:paraId="00C42694" w14:textId="77777777" w:rsidR="00700A3D" w:rsidRPr="003F0323" w:rsidRDefault="00700A3D" w:rsidP="0062121C">
      <w:pPr>
        <w:pStyle w:val="ListParagraph"/>
        <w:numPr>
          <w:ilvl w:val="0"/>
          <w:numId w:val="11"/>
        </w:numPr>
      </w:pPr>
      <w:r w:rsidRPr="003F0323">
        <w:t>Non-regulatory</w:t>
      </w:r>
    </w:p>
    <w:p w14:paraId="00089D6A" w14:textId="77777777" w:rsidR="00700A3D" w:rsidRPr="003F0323" w:rsidRDefault="00700A3D" w:rsidP="0062121C">
      <w:pPr>
        <w:pStyle w:val="ListParagraph"/>
        <w:numPr>
          <w:ilvl w:val="0"/>
          <w:numId w:val="13"/>
        </w:numPr>
      </w:pPr>
      <w:r w:rsidRPr="003F0323">
        <w:t>food safety culture initiatives</w:t>
      </w:r>
    </w:p>
    <w:p w14:paraId="658B8DF9" w14:textId="77777777" w:rsidR="00700A3D" w:rsidRPr="003F0323" w:rsidRDefault="00700A3D" w:rsidP="0062121C">
      <w:pPr>
        <w:pStyle w:val="ListParagraph"/>
        <w:numPr>
          <w:ilvl w:val="0"/>
          <w:numId w:val="13"/>
        </w:numPr>
      </w:pPr>
      <w:r w:rsidRPr="003F0323">
        <w:t>comprehensive and integrated support and education package to guide both food businesses and local government as key regulatory partners</w:t>
      </w:r>
    </w:p>
    <w:p w14:paraId="35D28413" w14:textId="77777777" w:rsidR="00700A3D" w:rsidRDefault="00700A3D" w:rsidP="00700A3D">
      <w:pPr>
        <w:rPr>
          <w:lang w:eastAsia="en-AU"/>
        </w:rPr>
      </w:pPr>
      <w:r>
        <w:t xml:space="preserve">ISFR agreed these tools provide </w:t>
      </w:r>
      <w:r>
        <w:rPr>
          <w:lang w:eastAsia="en-AU"/>
        </w:rPr>
        <w:t xml:space="preserve">a broader range of risk management measures that </w:t>
      </w:r>
      <w:r>
        <w:t xml:space="preserve">should be nationally and consistently implemented. </w:t>
      </w:r>
    </w:p>
    <w:p w14:paraId="6821AED5" w14:textId="77777777" w:rsidR="00700A3D" w:rsidRDefault="00700A3D" w:rsidP="00700A3D">
      <w:pPr>
        <w:pStyle w:val="Heading3"/>
      </w:pPr>
      <w:bookmarkStart w:id="59" w:name="_Toc33094540"/>
      <w:r>
        <w:lastRenderedPageBreak/>
        <w:t>4.3</w:t>
      </w:r>
      <w:r>
        <w:tab/>
        <w:t>Stakeholder consultation</w:t>
      </w:r>
      <w:bookmarkEnd w:id="59"/>
    </w:p>
    <w:p w14:paraId="6F3D0ABA" w14:textId="77777777" w:rsidR="00700A3D" w:rsidRDefault="00700A3D" w:rsidP="0062121C">
      <w:r>
        <w:t xml:space="preserve">During 2017, the FSM WG coordinated consultations to discuss and refine the identified tools. Over 400 stakeholders attended, including local government, in-scope businesses, industry bodies and registered training organisations. </w:t>
      </w:r>
    </w:p>
    <w:p w14:paraId="13D16A40" w14:textId="77777777" w:rsidR="00700A3D" w:rsidRDefault="00700A3D" w:rsidP="0062121C">
      <w:r>
        <w:t xml:space="preserve">There was a strong and consistent view from stakeholders that food safety remains a problem in the food service and closely related retail sectors. This is primarily due to a lack of basic skills and knowledge in hygiene, food handling, temperature control and cross-contamination, in addition to a lack of resources and high staff turnover. </w:t>
      </w:r>
    </w:p>
    <w:p w14:paraId="63E5C348" w14:textId="77777777" w:rsidR="00700A3D" w:rsidRDefault="00700A3D" w:rsidP="0062121C">
      <w:r>
        <w:t xml:space="preserve">Stakeholders agreed that additional food safety management tools such as FSSs would improve public health outcomes. Both industry and government were supportive of nationally consistent requirements, as this is crucial for food businesses operating across multiple jurisdictions. </w:t>
      </w:r>
    </w:p>
    <w:p w14:paraId="00819D8B" w14:textId="77777777" w:rsidR="00700A3D" w:rsidRDefault="00700A3D" w:rsidP="0062121C">
      <w:pPr>
        <w:rPr>
          <w:lang w:eastAsia="en-AU"/>
        </w:rPr>
      </w:pPr>
      <w:r>
        <w:t>Following the stakeholder consultations, the</w:t>
      </w:r>
      <w:r>
        <w:rPr>
          <w:lang w:eastAsia="en-AU"/>
        </w:rPr>
        <w:t xml:space="preserve"> FSM WG proposed the package of regulatory and non-regulatory measures expected to have the greatest impact on managing food safety in the in-scope businesses. The Food Regulation Standing Committee agreed to seek ministers’ endorsement for the package of measures.</w:t>
      </w:r>
    </w:p>
    <w:p w14:paraId="07857EB1" w14:textId="77777777" w:rsidR="00700A3D" w:rsidRDefault="00700A3D" w:rsidP="00700A3D">
      <w:pPr>
        <w:pStyle w:val="Heading2"/>
      </w:pPr>
      <w:bookmarkStart w:id="60" w:name="_Toc33094541"/>
      <w:r>
        <w:t>5.</w:t>
      </w:r>
      <w:r>
        <w:tab/>
        <w:t>National foodborne illness reduction strategy</w:t>
      </w:r>
      <w:bookmarkEnd w:id="60"/>
    </w:p>
    <w:p w14:paraId="275A11B0" w14:textId="77777777" w:rsidR="00700A3D" w:rsidRDefault="00700A3D" w:rsidP="0062121C">
      <w:r>
        <w:t>Australia's Foodborne Illness Reduction Strategy 2018–2021</w:t>
      </w:r>
      <w:r>
        <w:rPr>
          <w:vertAlign w:val="superscript"/>
        </w:rPr>
        <w:t>+</w:t>
      </w:r>
      <w:r>
        <w:t xml:space="preserve"> was established to reduce foodborne illness, particularly related to </w:t>
      </w:r>
      <w:r>
        <w:rPr>
          <w:i/>
        </w:rPr>
        <w:t>Campylobacter</w:t>
      </w:r>
      <w:r>
        <w:t xml:space="preserve"> and </w:t>
      </w:r>
      <w:r>
        <w:rPr>
          <w:i/>
        </w:rPr>
        <w:t>Salmonella</w:t>
      </w:r>
      <w:r>
        <w:t>. The strategy includes national and jurisdiction-level priorities and actions to achieve the vision of reduced levels of illness. Areas of focus include revision of standards, strengthening food safety culture, state actions to foster national consistency, research, monitoring and surveillance, and engagement activities. While action is needed at all points of the food supply chain, target areas include certain primary industries and the food service sector.</w:t>
      </w:r>
    </w:p>
    <w:p w14:paraId="4565538F" w14:textId="77777777" w:rsidR="00700A3D" w:rsidRDefault="00700A3D" w:rsidP="0062121C">
      <w:r>
        <w:t>Ministers have agreed improvements can be made with food service sectors to strengthen the food regulatory system and reduce foodborne illness. Implementing nationally consistent arrangements to improve food</w:t>
      </w:r>
      <w:r>
        <w:rPr>
          <w:rFonts w:cs="Calibri"/>
          <w:lang w:val="en-AU"/>
        </w:rPr>
        <w:t xml:space="preserve"> safety management in these sectors is</w:t>
      </w:r>
      <w:r>
        <w:t xml:space="preserve"> an identified action in the strategy. </w:t>
      </w:r>
    </w:p>
    <w:p w14:paraId="4077774F" w14:textId="5CCDE1A5" w:rsidR="00D25F70" w:rsidRPr="00700A3D" w:rsidRDefault="001D7632" w:rsidP="0062121C">
      <w:r w:rsidRPr="00700A3D">
        <w:t xml:space="preserve"> </w:t>
      </w:r>
    </w:p>
    <w:sectPr w:rsidR="00D25F70" w:rsidRPr="00700A3D" w:rsidSect="008E2339">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701D0" w14:textId="77777777" w:rsidR="00AE10F9" w:rsidRDefault="00AE10F9" w:rsidP="00BF7750">
      <w:r>
        <w:separator/>
      </w:r>
    </w:p>
  </w:endnote>
  <w:endnote w:type="continuationSeparator" w:id="0">
    <w:p w14:paraId="0FBA5645" w14:textId="77777777" w:rsidR="00AE10F9" w:rsidRDefault="00AE10F9" w:rsidP="00BF7750">
      <w:r>
        <w:continuationSeparator/>
      </w:r>
    </w:p>
  </w:endnote>
  <w:endnote w:type="continuationNotice" w:id="1">
    <w:p w14:paraId="712FA088" w14:textId="77777777" w:rsidR="00AE10F9" w:rsidRDefault="00AE1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96824"/>
      <w:docPartObj>
        <w:docPartGallery w:val="Page Numbers (Bottom of Page)"/>
        <w:docPartUnique/>
      </w:docPartObj>
    </w:sdtPr>
    <w:sdtEndPr>
      <w:rPr>
        <w:noProof/>
      </w:rPr>
    </w:sdtEndPr>
    <w:sdtContent>
      <w:p w14:paraId="6BB6E8AF" w14:textId="47F5225A" w:rsidR="00C32887" w:rsidRPr="00C15A25" w:rsidRDefault="00C32887">
        <w:pPr>
          <w:pStyle w:val="Footer"/>
          <w:jc w:val="right"/>
        </w:pPr>
        <w:r>
          <w:fldChar w:fldCharType="begin"/>
        </w:r>
        <w:r>
          <w:instrText xml:space="preserve"> PAGE   \* MERGEFORMAT </w:instrText>
        </w:r>
        <w:r>
          <w:fldChar w:fldCharType="separate"/>
        </w:r>
        <w:r w:rsidR="003F422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94D8" w14:textId="77777777" w:rsidR="00AE10F9" w:rsidRDefault="00AE10F9" w:rsidP="00BF7750">
      <w:r>
        <w:separator/>
      </w:r>
    </w:p>
  </w:footnote>
  <w:footnote w:type="continuationSeparator" w:id="0">
    <w:p w14:paraId="198ADB49" w14:textId="77777777" w:rsidR="00AE10F9" w:rsidRDefault="00AE10F9" w:rsidP="00BF7750">
      <w:r>
        <w:continuationSeparator/>
      </w:r>
    </w:p>
  </w:footnote>
  <w:footnote w:type="continuationNotice" w:id="1">
    <w:p w14:paraId="6C8AA87A" w14:textId="77777777" w:rsidR="00AE10F9" w:rsidRDefault="00AE10F9"/>
  </w:footnote>
  <w:footnote w:id="2">
    <w:p w14:paraId="30FE9962" w14:textId="77777777" w:rsidR="00C32887" w:rsidRDefault="00C32887" w:rsidP="00700A3D">
      <w:pPr>
        <w:pStyle w:val="FootnoteText"/>
        <w:rPr>
          <w:lang w:val="en-AU"/>
        </w:rPr>
      </w:pPr>
      <w:r>
        <w:rPr>
          <w:rStyle w:val="FootnoteReference"/>
        </w:rPr>
        <w:footnoteRef/>
      </w:r>
      <w:r>
        <w:t xml:space="preserve"> The </w:t>
      </w:r>
      <w:r>
        <w:rPr>
          <w:lang w:val="en-AU"/>
        </w:rPr>
        <w:t xml:space="preserve">Australia and New Zealand Ministerial Forum on Food Regulation (the Forum) comprises all Australian and New Zealand Ministers responsible for food, and the Australian Local Government Association. It was previously </w:t>
      </w:r>
      <w:r>
        <w:t>the Australia New Zealand Food Regulation Ministerial Council.</w:t>
      </w:r>
    </w:p>
  </w:footnote>
  <w:footnote w:id="3">
    <w:p w14:paraId="324F18D2" w14:textId="77777777" w:rsidR="00C32887" w:rsidRDefault="00C32887" w:rsidP="00700A3D">
      <w:pPr>
        <w:pStyle w:val="FootnoteText"/>
        <w:rPr>
          <w:lang w:val="en-AU"/>
        </w:rPr>
      </w:pPr>
      <w:r>
        <w:rPr>
          <w:rStyle w:val="FootnoteReference"/>
        </w:rPr>
        <w:footnoteRef/>
      </w:r>
      <w:r>
        <w:t xml:space="preserve"> FRSC </w:t>
      </w:r>
      <w:r>
        <w:rPr>
          <w:rFonts w:ascii="Helvetica" w:hAnsi="Helvetica" w:cs="Helvetica"/>
          <w:color w:val="222222"/>
          <w:sz w:val="20"/>
          <w:lang w:val="en-AU"/>
        </w:rPr>
        <w:t xml:space="preserve">is a committee under the Ministerial Forum responsible for developing food policy </w:t>
      </w:r>
    </w:p>
  </w:footnote>
  <w:footnote w:id="4">
    <w:p w14:paraId="1F78106D" w14:textId="77777777" w:rsidR="00C32887" w:rsidRDefault="00C32887" w:rsidP="00700A3D">
      <w:pPr>
        <w:pStyle w:val="FootnoteText"/>
        <w:rPr>
          <w:lang w:val="en-AU"/>
        </w:rPr>
      </w:pPr>
      <w:r>
        <w:rPr>
          <w:rStyle w:val="FootnoteReference"/>
        </w:rPr>
        <w:footnoteRef/>
      </w:r>
      <w:r>
        <w:t xml:space="preserve"> 2004 costs indexed to 2018 prices using the </w:t>
      </w:r>
      <w:hyperlink r:id="rId1" w:history="1">
        <w:r>
          <w:rPr>
            <w:rStyle w:val="Hyperlink"/>
          </w:rPr>
          <w:t>Consumer Price Index</w:t>
        </w:r>
      </w:hyperlink>
      <w:r>
        <w:t>.</w:t>
      </w:r>
    </w:p>
  </w:footnote>
  <w:footnote w:id="5">
    <w:p w14:paraId="5C1ADACC" w14:textId="77777777" w:rsidR="00C32887" w:rsidRDefault="00C32887" w:rsidP="00700A3D">
      <w:pPr>
        <w:pStyle w:val="FootnoteText"/>
      </w:pPr>
      <w:r>
        <w:rPr>
          <w:rStyle w:val="FootnoteReference"/>
        </w:rPr>
        <w:footnoteRef/>
      </w:r>
      <w:r>
        <w:t xml:space="preserve"> OzFoodNet is a</w:t>
      </w:r>
      <w:r>
        <w:rPr>
          <w:rFonts w:cs="Arial"/>
          <w:color w:val="000000"/>
          <w:shd w:val="clear" w:color="auto" w:fill="FFFFFF"/>
        </w:rPr>
        <w:t xml:space="preserve"> national health network to enhance the surveillance of foodborne diseases in Australia. </w:t>
      </w:r>
      <w:hyperlink r:id="rId2" w:history="1">
        <w:r>
          <w:rPr>
            <w:rStyle w:val="Hyperlink"/>
          </w:rPr>
          <w:t>OzFoodNet surveillance data reports</w:t>
        </w:r>
      </w:hyperlink>
    </w:p>
  </w:footnote>
  <w:footnote w:id="6">
    <w:p w14:paraId="0D489C9A" w14:textId="4D08F7F4" w:rsidR="00C32887" w:rsidRDefault="00C32887" w:rsidP="00700A3D">
      <w:pPr>
        <w:pStyle w:val="FootnoteText"/>
      </w:pPr>
      <w:r>
        <w:rPr>
          <w:rStyle w:val="FootnoteReference"/>
        </w:rPr>
        <w:footnoteRef/>
      </w:r>
      <w:r>
        <w:t xml:space="preserve"> Australia’s Foodborne Illness Reduction Strategy 2018-2021+ identifies three priority areas for 2018 to 2021 and beyond to further strengthen the food regulatory system</w:t>
      </w:r>
    </w:p>
    <w:p w14:paraId="35AC8747" w14:textId="77777777" w:rsidR="00C32887" w:rsidRDefault="00AE10F9" w:rsidP="00700A3D">
      <w:pPr>
        <w:pStyle w:val="FootnoteText"/>
        <w:rPr>
          <w:lang w:val="en-AU"/>
        </w:rPr>
      </w:pPr>
      <w:hyperlink r:id="rId3" w:history="1">
        <w:r w:rsidR="00C32887">
          <w:rPr>
            <w:rStyle w:val="Hyperlink"/>
          </w:rPr>
          <w:t>https://foodregulation.gov.au/internet/fr/publishing.nsf/Content/aus-foodborne-illness-reduction-strategy-2018-2021-Jun-2018</w:t>
        </w:r>
      </w:hyperlink>
    </w:p>
  </w:footnote>
  <w:footnote w:id="7">
    <w:p w14:paraId="36CE85A3" w14:textId="77777777" w:rsidR="00C32887" w:rsidRDefault="00C32887" w:rsidP="00700A3D">
      <w:pPr>
        <w:pStyle w:val="FootnoteText"/>
        <w:rPr>
          <w:lang w:val="en-AU"/>
        </w:rPr>
      </w:pPr>
      <w:r w:rsidRPr="00376975">
        <w:rPr>
          <w:rStyle w:val="FootnoteReference"/>
        </w:rPr>
        <w:footnoteRef/>
      </w:r>
      <w:r w:rsidRPr="00376975">
        <w:t xml:space="preserve"> </w:t>
      </w:r>
      <w:r w:rsidRPr="00376975">
        <w:rPr>
          <w:lang w:val="en-AU"/>
        </w:rPr>
        <w:t>Risk classification for these business was assessed by a working group of technical experts and endorsed by the Australia Department of Health. See Appendix 2, section 3</w:t>
      </w:r>
    </w:p>
  </w:footnote>
  <w:footnote w:id="8">
    <w:p w14:paraId="73AF60B7" w14:textId="77777777" w:rsidR="00C32887" w:rsidRPr="006343F7" w:rsidRDefault="00C32887" w:rsidP="00614431">
      <w:pPr>
        <w:pStyle w:val="FootnoteText"/>
        <w:rPr>
          <w:lang w:val="en-AU"/>
        </w:rPr>
      </w:pPr>
      <w:r>
        <w:rPr>
          <w:rStyle w:val="FootnoteReference"/>
        </w:rPr>
        <w:footnoteRef/>
      </w:r>
      <w:r>
        <w:t xml:space="preserve"> </w:t>
      </w:r>
      <w:hyperlink r:id="rId4" w:history="1">
        <w:r w:rsidRPr="00B66F68">
          <w:rPr>
            <w:rStyle w:val="Hyperlink"/>
          </w:rPr>
          <w:t>https://foodregulation.gov.au/internet/fr/publishing.nsf/Content/forum-communique-2018-June</w:t>
        </w:r>
      </w:hyperlink>
      <w:r>
        <w:t xml:space="preserve"> </w:t>
      </w:r>
    </w:p>
  </w:footnote>
  <w:footnote w:id="9">
    <w:p w14:paraId="2BE985B3" w14:textId="77777777" w:rsidR="00C32887" w:rsidRDefault="00C32887" w:rsidP="00700A3D">
      <w:pPr>
        <w:pStyle w:val="FSCFooter"/>
        <w:ind w:left="425" w:hanging="425"/>
        <w:rPr>
          <w:rFonts w:cs="Arial"/>
          <w:lang w:val="en-AU"/>
        </w:rPr>
      </w:pPr>
      <w:r>
        <w:rPr>
          <w:rStyle w:val="FootnoteReference"/>
          <w:rFonts w:cs="Arial"/>
        </w:rPr>
        <w:footnoteRef/>
      </w:r>
      <w:r>
        <w:rPr>
          <w:rFonts w:cs="Arial"/>
        </w:rPr>
        <w:t xml:space="preserve"> </w:t>
      </w:r>
      <w:hyperlink r:id="rId5" w:history="1">
        <w:r>
          <w:rPr>
            <w:rStyle w:val="Hyperlink"/>
            <w:rFonts w:eastAsiaTheme="majorEastAsia" w:cs="Arial"/>
          </w:rPr>
          <w:t>Food Standards Code</w:t>
        </w:r>
      </w:hyperlink>
      <w:r>
        <w:rPr>
          <w:rFonts w:cs="Arial"/>
        </w:rPr>
        <w:t xml:space="preserve">, FSANZ website </w:t>
      </w:r>
    </w:p>
  </w:footnote>
  <w:footnote w:id="10">
    <w:p w14:paraId="38BAE272" w14:textId="77777777" w:rsidR="00C32887" w:rsidRDefault="00C32887" w:rsidP="00700A3D">
      <w:pPr>
        <w:pStyle w:val="FootnoteText"/>
      </w:pPr>
      <w:r>
        <w:rPr>
          <w:rStyle w:val="FootnoteReference"/>
        </w:rPr>
        <w:footnoteRef/>
      </w:r>
      <w:r>
        <w:t xml:space="preserve"> </w:t>
      </w:r>
      <w:hyperlink r:id="rId6" w:history="1">
        <w:r>
          <w:rPr>
            <w:rStyle w:val="Hyperlink"/>
          </w:rPr>
          <w:t>http://www.foodstandards.gov.au/publications/Documents/Safe%20Food%20Australia/STANDARD%203.2.2%20Food%20Safety%20Practices%20and%20General%20Requirements.pdf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2B4"/>
    <w:multiLevelType w:val="hybridMultilevel"/>
    <w:tmpl w:val="4296DBA6"/>
    <w:lvl w:ilvl="0" w:tplc="2D847F70">
      <w:start w:val="1"/>
      <w:numFmt w:val="bullet"/>
      <w:pStyle w:val="AAR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82BB2"/>
    <w:multiLevelType w:val="hybridMultilevel"/>
    <w:tmpl w:val="1618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22E2F"/>
    <w:multiLevelType w:val="hybridMultilevel"/>
    <w:tmpl w:val="EC3E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E463E7"/>
    <w:multiLevelType w:val="hybridMultilevel"/>
    <w:tmpl w:val="BCAA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30AC"/>
    <w:multiLevelType w:val="hybridMultilevel"/>
    <w:tmpl w:val="E78E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75635"/>
    <w:multiLevelType w:val="hybridMultilevel"/>
    <w:tmpl w:val="CEDE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C0120"/>
    <w:multiLevelType w:val="hybridMultilevel"/>
    <w:tmpl w:val="9FCC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B092F"/>
    <w:multiLevelType w:val="hybridMultilevel"/>
    <w:tmpl w:val="0E6C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03728"/>
    <w:multiLevelType w:val="hybridMultilevel"/>
    <w:tmpl w:val="7C44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D0593"/>
    <w:multiLevelType w:val="hybridMultilevel"/>
    <w:tmpl w:val="1546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01D54"/>
    <w:multiLevelType w:val="hybridMultilevel"/>
    <w:tmpl w:val="C96E20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3E3371"/>
    <w:multiLevelType w:val="hybridMultilevel"/>
    <w:tmpl w:val="753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B023C"/>
    <w:multiLevelType w:val="hybridMultilevel"/>
    <w:tmpl w:val="F0022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444FD0"/>
    <w:multiLevelType w:val="hybridMultilevel"/>
    <w:tmpl w:val="26C6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E591F"/>
    <w:multiLevelType w:val="hybridMultilevel"/>
    <w:tmpl w:val="9206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81F7E"/>
    <w:multiLevelType w:val="hybridMultilevel"/>
    <w:tmpl w:val="A1F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11EC1"/>
    <w:multiLevelType w:val="hybridMultilevel"/>
    <w:tmpl w:val="021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82FFA"/>
    <w:multiLevelType w:val="hybridMultilevel"/>
    <w:tmpl w:val="B8B6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61480"/>
    <w:multiLevelType w:val="singleLevel"/>
    <w:tmpl w:val="F514B7A8"/>
    <w:lvl w:ilvl="0">
      <w:start w:val="1"/>
      <w:numFmt w:val="decimal"/>
      <w:pStyle w:val="ISCnumbered"/>
      <w:lvlText w:val="%1."/>
      <w:lvlJc w:val="left"/>
      <w:pPr>
        <w:tabs>
          <w:tab w:val="num" w:pos="360"/>
        </w:tabs>
        <w:ind w:left="360" w:hanging="360"/>
      </w:pPr>
      <w:rPr>
        <w:rFonts w:cs="Times New Roman"/>
      </w:rPr>
    </w:lvl>
  </w:abstractNum>
  <w:abstractNum w:abstractNumId="20"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21" w15:restartNumberingAfterBreak="0">
    <w:nsid w:val="4CFC3355"/>
    <w:multiLevelType w:val="hybridMultilevel"/>
    <w:tmpl w:val="044E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711FF8"/>
    <w:multiLevelType w:val="hybridMultilevel"/>
    <w:tmpl w:val="3268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2B7DBB"/>
    <w:multiLevelType w:val="hybridMultilevel"/>
    <w:tmpl w:val="80248CB8"/>
    <w:lvl w:ilvl="0" w:tplc="08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E379D2"/>
    <w:multiLevelType w:val="hybridMultilevel"/>
    <w:tmpl w:val="8518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15:restartNumberingAfterBreak="0">
    <w:nsid w:val="750647D1"/>
    <w:multiLevelType w:val="hybridMultilevel"/>
    <w:tmpl w:val="BC8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11CD3"/>
    <w:multiLevelType w:val="hybridMultilevel"/>
    <w:tmpl w:val="22C8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F36C2"/>
    <w:multiLevelType w:val="hybridMultilevel"/>
    <w:tmpl w:val="C5AC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646EB"/>
    <w:multiLevelType w:val="hybridMultilevel"/>
    <w:tmpl w:val="EA32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9750C"/>
    <w:multiLevelType w:val="hybridMultilevel"/>
    <w:tmpl w:val="4EB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20806"/>
    <w:multiLevelType w:val="hybridMultilevel"/>
    <w:tmpl w:val="1E808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F33929"/>
    <w:multiLevelType w:val="hybridMultilevel"/>
    <w:tmpl w:val="0D12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2"/>
  </w:num>
  <w:num w:numId="4">
    <w:abstractNumId w:val="0"/>
  </w:num>
  <w:num w:numId="5">
    <w:abstractNumId w:val="19"/>
  </w:num>
  <w:num w:numId="6">
    <w:abstractNumId w:val="20"/>
  </w:num>
  <w:num w:numId="7">
    <w:abstractNumId w:val="18"/>
  </w:num>
  <w:num w:numId="8">
    <w:abstractNumId w:val="21"/>
  </w:num>
  <w:num w:numId="9">
    <w:abstractNumId w:val="30"/>
  </w:num>
  <w:num w:numId="10">
    <w:abstractNumId w:val="10"/>
  </w:num>
  <w:num w:numId="11">
    <w:abstractNumId w:val="28"/>
  </w:num>
  <w:num w:numId="12">
    <w:abstractNumId w:val="24"/>
  </w:num>
  <w:num w:numId="13">
    <w:abstractNumId w:val="2"/>
  </w:num>
  <w:num w:numId="14">
    <w:abstractNumId w:val="1"/>
  </w:num>
  <w:num w:numId="15">
    <w:abstractNumId w:val="3"/>
  </w:num>
  <w:num w:numId="16">
    <w:abstractNumId w:val="16"/>
  </w:num>
  <w:num w:numId="17">
    <w:abstractNumId w:val="29"/>
  </w:num>
  <w:num w:numId="18">
    <w:abstractNumId w:val="33"/>
  </w:num>
  <w:num w:numId="19">
    <w:abstractNumId w:val="14"/>
  </w:num>
  <w:num w:numId="20">
    <w:abstractNumId w:val="12"/>
  </w:num>
  <w:num w:numId="21">
    <w:abstractNumId w:val="32"/>
  </w:num>
  <w:num w:numId="22">
    <w:abstractNumId w:val="6"/>
  </w:num>
  <w:num w:numId="23">
    <w:abstractNumId w:val="8"/>
  </w:num>
  <w:num w:numId="24">
    <w:abstractNumId w:val="15"/>
  </w:num>
  <w:num w:numId="25">
    <w:abstractNumId w:val="27"/>
  </w:num>
  <w:num w:numId="26">
    <w:abstractNumId w:val="25"/>
  </w:num>
  <w:num w:numId="27">
    <w:abstractNumId w:val="23"/>
  </w:num>
  <w:num w:numId="28">
    <w:abstractNumId w:val="9"/>
  </w:num>
  <w:num w:numId="29">
    <w:abstractNumId w:val="17"/>
  </w:num>
  <w:num w:numId="30">
    <w:abstractNumId w:val="7"/>
  </w:num>
  <w:num w:numId="31">
    <w:abstractNumId w:val="31"/>
  </w:num>
  <w:num w:numId="32">
    <w:abstractNumId w:val="5"/>
  </w:num>
  <w:num w:numId="33">
    <w:abstractNumId w:val="4"/>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B3"/>
    <w:rsid w:val="00000475"/>
    <w:rsid w:val="00001127"/>
    <w:rsid w:val="00002C6B"/>
    <w:rsid w:val="000039CD"/>
    <w:rsid w:val="00004B25"/>
    <w:rsid w:val="0000542C"/>
    <w:rsid w:val="00006657"/>
    <w:rsid w:val="000130A7"/>
    <w:rsid w:val="00013D03"/>
    <w:rsid w:val="0001498F"/>
    <w:rsid w:val="000204C4"/>
    <w:rsid w:val="00021556"/>
    <w:rsid w:val="00024EA2"/>
    <w:rsid w:val="00031EB9"/>
    <w:rsid w:val="000324B6"/>
    <w:rsid w:val="00032CBC"/>
    <w:rsid w:val="00032D57"/>
    <w:rsid w:val="00033F78"/>
    <w:rsid w:val="00035232"/>
    <w:rsid w:val="00035B93"/>
    <w:rsid w:val="000360BE"/>
    <w:rsid w:val="00036A21"/>
    <w:rsid w:val="000373AB"/>
    <w:rsid w:val="00041643"/>
    <w:rsid w:val="0004277D"/>
    <w:rsid w:val="0004311A"/>
    <w:rsid w:val="000448E4"/>
    <w:rsid w:val="000459D2"/>
    <w:rsid w:val="000504C4"/>
    <w:rsid w:val="00051255"/>
    <w:rsid w:val="00054BEA"/>
    <w:rsid w:val="00055043"/>
    <w:rsid w:val="00056D65"/>
    <w:rsid w:val="000622E7"/>
    <w:rsid w:val="00063685"/>
    <w:rsid w:val="000643EC"/>
    <w:rsid w:val="0006578C"/>
    <w:rsid w:val="00066854"/>
    <w:rsid w:val="00066D85"/>
    <w:rsid w:val="00070CFD"/>
    <w:rsid w:val="000715A2"/>
    <w:rsid w:val="000725F2"/>
    <w:rsid w:val="00074360"/>
    <w:rsid w:val="000757AA"/>
    <w:rsid w:val="00076C39"/>
    <w:rsid w:val="00080A23"/>
    <w:rsid w:val="00081882"/>
    <w:rsid w:val="00083FA5"/>
    <w:rsid w:val="00090361"/>
    <w:rsid w:val="00091E4D"/>
    <w:rsid w:val="00092295"/>
    <w:rsid w:val="00092CF9"/>
    <w:rsid w:val="00095F36"/>
    <w:rsid w:val="000A3579"/>
    <w:rsid w:val="000A38F8"/>
    <w:rsid w:val="000A543B"/>
    <w:rsid w:val="000A55B0"/>
    <w:rsid w:val="000B24AC"/>
    <w:rsid w:val="000B58B5"/>
    <w:rsid w:val="000C0013"/>
    <w:rsid w:val="000C1082"/>
    <w:rsid w:val="000C2639"/>
    <w:rsid w:val="000C36DF"/>
    <w:rsid w:val="000C3B47"/>
    <w:rsid w:val="000C3B99"/>
    <w:rsid w:val="000C5283"/>
    <w:rsid w:val="000C5E9D"/>
    <w:rsid w:val="000D08B5"/>
    <w:rsid w:val="000D0AB4"/>
    <w:rsid w:val="000D347E"/>
    <w:rsid w:val="000D4CDB"/>
    <w:rsid w:val="000D53E3"/>
    <w:rsid w:val="000E433A"/>
    <w:rsid w:val="000E714B"/>
    <w:rsid w:val="000E7ABB"/>
    <w:rsid w:val="000F2196"/>
    <w:rsid w:val="000F4016"/>
    <w:rsid w:val="001030EA"/>
    <w:rsid w:val="001101B1"/>
    <w:rsid w:val="00111236"/>
    <w:rsid w:val="00111E34"/>
    <w:rsid w:val="00113F43"/>
    <w:rsid w:val="0011465E"/>
    <w:rsid w:val="00117589"/>
    <w:rsid w:val="00122956"/>
    <w:rsid w:val="00126728"/>
    <w:rsid w:val="00127949"/>
    <w:rsid w:val="00127A88"/>
    <w:rsid w:val="00130B4D"/>
    <w:rsid w:val="0013625F"/>
    <w:rsid w:val="00141A54"/>
    <w:rsid w:val="00143862"/>
    <w:rsid w:val="00143AED"/>
    <w:rsid w:val="001459A6"/>
    <w:rsid w:val="001535E0"/>
    <w:rsid w:val="001542E2"/>
    <w:rsid w:val="0016034B"/>
    <w:rsid w:val="0016479F"/>
    <w:rsid w:val="00164A2A"/>
    <w:rsid w:val="00166B80"/>
    <w:rsid w:val="00171197"/>
    <w:rsid w:val="001734EA"/>
    <w:rsid w:val="00173A82"/>
    <w:rsid w:val="00175554"/>
    <w:rsid w:val="00176D6D"/>
    <w:rsid w:val="001804AF"/>
    <w:rsid w:val="00180A85"/>
    <w:rsid w:val="001826F9"/>
    <w:rsid w:val="00182BA6"/>
    <w:rsid w:val="00184403"/>
    <w:rsid w:val="00187A1C"/>
    <w:rsid w:val="0019038A"/>
    <w:rsid w:val="00191770"/>
    <w:rsid w:val="001919B3"/>
    <w:rsid w:val="001921CA"/>
    <w:rsid w:val="00192F6C"/>
    <w:rsid w:val="00195561"/>
    <w:rsid w:val="00196C30"/>
    <w:rsid w:val="00197013"/>
    <w:rsid w:val="001A1774"/>
    <w:rsid w:val="001A62BC"/>
    <w:rsid w:val="001A78D6"/>
    <w:rsid w:val="001B01E7"/>
    <w:rsid w:val="001B035F"/>
    <w:rsid w:val="001B04A4"/>
    <w:rsid w:val="001B236F"/>
    <w:rsid w:val="001B55E2"/>
    <w:rsid w:val="001B667D"/>
    <w:rsid w:val="001B6BEB"/>
    <w:rsid w:val="001C3C29"/>
    <w:rsid w:val="001C4399"/>
    <w:rsid w:val="001C5126"/>
    <w:rsid w:val="001D00AE"/>
    <w:rsid w:val="001D00E5"/>
    <w:rsid w:val="001D0999"/>
    <w:rsid w:val="001D14EC"/>
    <w:rsid w:val="001D2059"/>
    <w:rsid w:val="001D5AAE"/>
    <w:rsid w:val="001D5C09"/>
    <w:rsid w:val="001D7632"/>
    <w:rsid w:val="001E696B"/>
    <w:rsid w:val="001E7239"/>
    <w:rsid w:val="001F00AA"/>
    <w:rsid w:val="001F0295"/>
    <w:rsid w:val="001F54A6"/>
    <w:rsid w:val="001F6228"/>
    <w:rsid w:val="001F674B"/>
    <w:rsid w:val="002111C6"/>
    <w:rsid w:val="002120D0"/>
    <w:rsid w:val="00214350"/>
    <w:rsid w:val="00222DA3"/>
    <w:rsid w:val="002232B1"/>
    <w:rsid w:val="00227EC4"/>
    <w:rsid w:val="0023153B"/>
    <w:rsid w:val="002316E8"/>
    <w:rsid w:val="00233F2C"/>
    <w:rsid w:val="00234C31"/>
    <w:rsid w:val="0023519A"/>
    <w:rsid w:val="002351C2"/>
    <w:rsid w:val="0023537A"/>
    <w:rsid w:val="002406E3"/>
    <w:rsid w:val="0024111E"/>
    <w:rsid w:val="002450F1"/>
    <w:rsid w:val="00245BA7"/>
    <w:rsid w:val="0025024E"/>
    <w:rsid w:val="00250892"/>
    <w:rsid w:val="002538DF"/>
    <w:rsid w:val="00255616"/>
    <w:rsid w:val="00255832"/>
    <w:rsid w:val="00275048"/>
    <w:rsid w:val="00275D63"/>
    <w:rsid w:val="00275E56"/>
    <w:rsid w:val="00275ECD"/>
    <w:rsid w:val="00276B64"/>
    <w:rsid w:val="002778BF"/>
    <w:rsid w:val="00281B3B"/>
    <w:rsid w:val="0028249A"/>
    <w:rsid w:val="00283A01"/>
    <w:rsid w:val="002933B9"/>
    <w:rsid w:val="00297E39"/>
    <w:rsid w:val="002A7317"/>
    <w:rsid w:val="002A7483"/>
    <w:rsid w:val="002A766D"/>
    <w:rsid w:val="002B0C39"/>
    <w:rsid w:val="002B2D05"/>
    <w:rsid w:val="002B2E7F"/>
    <w:rsid w:val="002C2A03"/>
    <w:rsid w:val="002C5227"/>
    <w:rsid w:val="002D4FE0"/>
    <w:rsid w:val="002E4B62"/>
    <w:rsid w:val="002E4E29"/>
    <w:rsid w:val="002E5476"/>
    <w:rsid w:val="002E55EF"/>
    <w:rsid w:val="002E75AE"/>
    <w:rsid w:val="002F1C1A"/>
    <w:rsid w:val="002F2653"/>
    <w:rsid w:val="002F2E5D"/>
    <w:rsid w:val="002F6170"/>
    <w:rsid w:val="003013BA"/>
    <w:rsid w:val="0030149B"/>
    <w:rsid w:val="003024AC"/>
    <w:rsid w:val="00306CE9"/>
    <w:rsid w:val="00316CF0"/>
    <w:rsid w:val="0032041B"/>
    <w:rsid w:val="003225DD"/>
    <w:rsid w:val="00324E2E"/>
    <w:rsid w:val="00325E18"/>
    <w:rsid w:val="0033021F"/>
    <w:rsid w:val="00330266"/>
    <w:rsid w:val="00331A52"/>
    <w:rsid w:val="003334D4"/>
    <w:rsid w:val="00334C48"/>
    <w:rsid w:val="00336ED8"/>
    <w:rsid w:val="00340556"/>
    <w:rsid w:val="003414A7"/>
    <w:rsid w:val="00341D25"/>
    <w:rsid w:val="0034730A"/>
    <w:rsid w:val="0035146C"/>
    <w:rsid w:val="00354B37"/>
    <w:rsid w:val="00355E1D"/>
    <w:rsid w:val="003665F6"/>
    <w:rsid w:val="00367C2B"/>
    <w:rsid w:val="0037049C"/>
    <w:rsid w:val="00373BF8"/>
    <w:rsid w:val="00374530"/>
    <w:rsid w:val="00376975"/>
    <w:rsid w:val="00376A9A"/>
    <w:rsid w:val="00376BED"/>
    <w:rsid w:val="0038022D"/>
    <w:rsid w:val="00381582"/>
    <w:rsid w:val="003820D5"/>
    <w:rsid w:val="00382E45"/>
    <w:rsid w:val="00382FF4"/>
    <w:rsid w:val="003844B6"/>
    <w:rsid w:val="0038619B"/>
    <w:rsid w:val="00386CD3"/>
    <w:rsid w:val="00386EBF"/>
    <w:rsid w:val="00390A90"/>
    <w:rsid w:val="0039243E"/>
    <w:rsid w:val="00393D79"/>
    <w:rsid w:val="00394A73"/>
    <w:rsid w:val="00394C00"/>
    <w:rsid w:val="00395C2B"/>
    <w:rsid w:val="003A01FB"/>
    <w:rsid w:val="003A1B78"/>
    <w:rsid w:val="003A409C"/>
    <w:rsid w:val="003A4466"/>
    <w:rsid w:val="003A5ADA"/>
    <w:rsid w:val="003A6E39"/>
    <w:rsid w:val="003B28D4"/>
    <w:rsid w:val="003B7636"/>
    <w:rsid w:val="003C0C56"/>
    <w:rsid w:val="003C0E6D"/>
    <w:rsid w:val="003C29C0"/>
    <w:rsid w:val="003C4234"/>
    <w:rsid w:val="003D1BD9"/>
    <w:rsid w:val="003D3786"/>
    <w:rsid w:val="003D41E2"/>
    <w:rsid w:val="003D65A1"/>
    <w:rsid w:val="003E3357"/>
    <w:rsid w:val="003F0323"/>
    <w:rsid w:val="003F07AD"/>
    <w:rsid w:val="003F3813"/>
    <w:rsid w:val="003F422F"/>
    <w:rsid w:val="003F5238"/>
    <w:rsid w:val="003F5AFB"/>
    <w:rsid w:val="003F7C7C"/>
    <w:rsid w:val="0040246F"/>
    <w:rsid w:val="00402603"/>
    <w:rsid w:val="00404702"/>
    <w:rsid w:val="00404994"/>
    <w:rsid w:val="004050E8"/>
    <w:rsid w:val="00405E4E"/>
    <w:rsid w:val="00406F65"/>
    <w:rsid w:val="00407CA9"/>
    <w:rsid w:val="0041136D"/>
    <w:rsid w:val="00411D8A"/>
    <w:rsid w:val="00412277"/>
    <w:rsid w:val="00423EFB"/>
    <w:rsid w:val="0043015A"/>
    <w:rsid w:val="0043335F"/>
    <w:rsid w:val="00436F2D"/>
    <w:rsid w:val="00437BFD"/>
    <w:rsid w:val="0044041A"/>
    <w:rsid w:val="004412C5"/>
    <w:rsid w:val="00441D77"/>
    <w:rsid w:val="00443F05"/>
    <w:rsid w:val="0045571D"/>
    <w:rsid w:val="00456AED"/>
    <w:rsid w:val="00467E31"/>
    <w:rsid w:val="00470B68"/>
    <w:rsid w:val="00481D4F"/>
    <w:rsid w:val="00482773"/>
    <w:rsid w:val="00485910"/>
    <w:rsid w:val="00486619"/>
    <w:rsid w:val="00486900"/>
    <w:rsid w:val="00491579"/>
    <w:rsid w:val="00494C4B"/>
    <w:rsid w:val="0049560F"/>
    <w:rsid w:val="00495DE2"/>
    <w:rsid w:val="004960F0"/>
    <w:rsid w:val="004966FE"/>
    <w:rsid w:val="004A0B57"/>
    <w:rsid w:val="004A1097"/>
    <w:rsid w:val="004A1159"/>
    <w:rsid w:val="004A23F7"/>
    <w:rsid w:val="004A4826"/>
    <w:rsid w:val="004A7F27"/>
    <w:rsid w:val="004B1EFE"/>
    <w:rsid w:val="004B40C8"/>
    <w:rsid w:val="004B40F9"/>
    <w:rsid w:val="004B5BF2"/>
    <w:rsid w:val="004B5CAB"/>
    <w:rsid w:val="004C2BAB"/>
    <w:rsid w:val="004C43E3"/>
    <w:rsid w:val="004C5B63"/>
    <w:rsid w:val="004C7654"/>
    <w:rsid w:val="004C7D2D"/>
    <w:rsid w:val="004D3408"/>
    <w:rsid w:val="004D3868"/>
    <w:rsid w:val="004D56FD"/>
    <w:rsid w:val="004D677B"/>
    <w:rsid w:val="004D7FF0"/>
    <w:rsid w:val="004E1898"/>
    <w:rsid w:val="004E18BD"/>
    <w:rsid w:val="004E3CF8"/>
    <w:rsid w:val="004E4C69"/>
    <w:rsid w:val="004E504A"/>
    <w:rsid w:val="004E6694"/>
    <w:rsid w:val="004E6FD9"/>
    <w:rsid w:val="004F1626"/>
    <w:rsid w:val="004F250C"/>
    <w:rsid w:val="004F43E5"/>
    <w:rsid w:val="00500B6E"/>
    <w:rsid w:val="00505634"/>
    <w:rsid w:val="00507EA4"/>
    <w:rsid w:val="00510F26"/>
    <w:rsid w:val="005110B3"/>
    <w:rsid w:val="00512D2D"/>
    <w:rsid w:val="0051363B"/>
    <w:rsid w:val="005168E0"/>
    <w:rsid w:val="0051754F"/>
    <w:rsid w:val="00517F02"/>
    <w:rsid w:val="005221DE"/>
    <w:rsid w:val="005227E4"/>
    <w:rsid w:val="00522CC8"/>
    <w:rsid w:val="0053150F"/>
    <w:rsid w:val="00531C3B"/>
    <w:rsid w:val="0053221D"/>
    <w:rsid w:val="005339ED"/>
    <w:rsid w:val="00536675"/>
    <w:rsid w:val="0054036E"/>
    <w:rsid w:val="0054166E"/>
    <w:rsid w:val="00546D70"/>
    <w:rsid w:val="005542CE"/>
    <w:rsid w:val="005627E2"/>
    <w:rsid w:val="00564253"/>
    <w:rsid w:val="00565ACF"/>
    <w:rsid w:val="00567C15"/>
    <w:rsid w:val="00573A31"/>
    <w:rsid w:val="00573D9A"/>
    <w:rsid w:val="00574F43"/>
    <w:rsid w:val="00592837"/>
    <w:rsid w:val="00592E14"/>
    <w:rsid w:val="0059424A"/>
    <w:rsid w:val="00595DA5"/>
    <w:rsid w:val="005968A9"/>
    <w:rsid w:val="005A06A4"/>
    <w:rsid w:val="005A179D"/>
    <w:rsid w:val="005B3608"/>
    <w:rsid w:val="005B578D"/>
    <w:rsid w:val="005B61D2"/>
    <w:rsid w:val="005B7090"/>
    <w:rsid w:val="005B741E"/>
    <w:rsid w:val="005C11E8"/>
    <w:rsid w:val="005C1996"/>
    <w:rsid w:val="005C2B10"/>
    <w:rsid w:val="005C30C8"/>
    <w:rsid w:val="005D09DA"/>
    <w:rsid w:val="005D17C7"/>
    <w:rsid w:val="005D543D"/>
    <w:rsid w:val="005D6E13"/>
    <w:rsid w:val="005D7933"/>
    <w:rsid w:val="005E184E"/>
    <w:rsid w:val="005E21C8"/>
    <w:rsid w:val="005E3CB4"/>
    <w:rsid w:val="005E4057"/>
    <w:rsid w:val="005E596C"/>
    <w:rsid w:val="005E5A5F"/>
    <w:rsid w:val="005E7012"/>
    <w:rsid w:val="005F0884"/>
    <w:rsid w:val="005F18A1"/>
    <w:rsid w:val="005F695B"/>
    <w:rsid w:val="00603BB2"/>
    <w:rsid w:val="006056BF"/>
    <w:rsid w:val="00607D08"/>
    <w:rsid w:val="00611088"/>
    <w:rsid w:val="006128B2"/>
    <w:rsid w:val="00612E62"/>
    <w:rsid w:val="00614431"/>
    <w:rsid w:val="00615264"/>
    <w:rsid w:val="00615561"/>
    <w:rsid w:val="006159FC"/>
    <w:rsid w:val="00615D16"/>
    <w:rsid w:val="006200C4"/>
    <w:rsid w:val="0062121C"/>
    <w:rsid w:val="00622424"/>
    <w:rsid w:val="00623ECD"/>
    <w:rsid w:val="00624DF0"/>
    <w:rsid w:val="006250E1"/>
    <w:rsid w:val="00625E9B"/>
    <w:rsid w:val="0063255E"/>
    <w:rsid w:val="00632C25"/>
    <w:rsid w:val="00633674"/>
    <w:rsid w:val="00633730"/>
    <w:rsid w:val="006343F7"/>
    <w:rsid w:val="006379C1"/>
    <w:rsid w:val="0064356F"/>
    <w:rsid w:val="006444FD"/>
    <w:rsid w:val="00646FF1"/>
    <w:rsid w:val="00650877"/>
    <w:rsid w:val="0065144E"/>
    <w:rsid w:val="0065167A"/>
    <w:rsid w:val="006540F9"/>
    <w:rsid w:val="00654C3A"/>
    <w:rsid w:val="0065623A"/>
    <w:rsid w:val="0066108F"/>
    <w:rsid w:val="00682510"/>
    <w:rsid w:val="00684231"/>
    <w:rsid w:val="0068440B"/>
    <w:rsid w:val="00685177"/>
    <w:rsid w:val="0068646C"/>
    <w:rsid w:val="0069316B"/>
    <w:rsid w:val="0069342B"/>
    <w:rsid w:val="006934F9"/>
    <w:rsid w:val="006940F0"/>
    <w:rsid w:val="006960AD"/>
    <w:rsid w:val="00697CE4"/>
    <w:rsid w:val="006A0D32"/>
    <w:rsid w:val="006A22EA"/>
    <w:rsid w:val="006A358A"/>
    <w:rsid w:val="006A6EFE"/>
    <w:rsid w:val="006B01DA"/>
    <w:rsid w:val="006B0928"/>
    <w:rsid w:val="006B0B11"/>
    <w:rsid w:val="006B1F21"/>
    <w:rsid w:val="006B33FC"/>
    <w:rsid w:val="006B6900"/>
    <w:rsid w:val="006B7B43"/>
    <w:rsid w:val="006C7E66"/>
    <w:rsid w:val="006D473E"/>
    <w:rsid w:val="006D4AC0"/>
    <w:rsid w:val="006D5CD4"/>
    <w:rsid w:val="006D66CB"/>
    <w:rsid w:val="006D68D1"/>
    <w:rsid w:val="006E1DFB"/>
    <w:rsid w:val="006E6F7D"/>
    <w:rsid w:val="006F0882"/>
    <w:rsid w:val="006F2757"/>
    <w:rsid w:val="006F308C"/>
    <w:rsid w:val="006F4977"/>
    <w:rsid w:val="006F7710"/>
    <w:rsid w:val="00700A3D"/>
    <w:rsid w:val="00701BFF"/>
    <w:rsid w:val="00702017"/>
    <w:rsid w:val="007038BA"/>
    <w:rsid w:val="00705E3D"/>
    <w:rsid w:val="0070717E"/>
    <w:rsid w:val="0070769E"/>
    <w:rsid w:val="00707F57"/>
    <w:rsid w:val="007100A2"/>
    <w:rsid w:val="00715595"/>
    <w:rsid w:val="00717460"/>
    <w:rsid w:val="007201F8"/>
    <w:rsid w:val="00721DA7"/>
    <w:rsid w:val="00723CE4"/>
    <w:rsid w:val="00724ADE"/>
    <w:rsid w:val="007270B8"/>
    <w:rsid w:val="00727B07"/>
    <w:rsid w:val="00731817"/>
    <w:rsid w:val="00731D9D"/>
    <w:rsid w:val="007348AD"/>
    <w:rsid w:val="00736E50"/>
    <w:rsid w:val="007469EF"/>
    <w:rsid w:val="00751F1B"/>
    <w:rsid w:val="00757575"/>
    <w:rsid w:val="007576B8"/>
    <w:rsid w:val="00761B0B"/>
    <w:rsid w:val="00763CA0"/>
    <w:rsid w:val="00764271"/>
    <w:rsid w:val="007679E6"/>
    <w:rsid w:val="0077058B"/>
    <w:rsid w:val="00770E5D"/>
    <w:rsid w:val="00772375"/>
    <w:rsid w:val="00773404"/>
    <w:rsid w:val="00774700"/>
    <w:rsid w:val="00780AEB"/>
    <w:rsid w:val="00783E29"/>
    <w:rsid w:val="00787BB4"/>
    <w:rsid w:val="0079000D"/>
    <w:rsid w:val="0079028E"/>
    <w:rsid w:val="00793DE6"/>
    <w:rsid w:val="007943F1"/>
    <w:rsid w:val="00795A6F"/>
    <w:rsid w:val="007A5B0B"/>
    <w:rsid w:val="007A6635"/>
    <w:rsid w:val="007B0868"/>
    <w:rsid w:val="007B0CF6"/>
    <w:rsid w:val="007C244D"/>
    <w:rsid w:val="007C44FD"/>
    <w:rsid w:val="007C733D"/>
    <w:rsid w:val="007C7B3A"/>
    <w:rsid w:val="007D2562"/>
    <w:rsid w:val="007D2B90"/>
    <w:rsid w:val="007D4CE4"/>
    <w:rsid w:val="007D4D45"/>
    <w:rsid w:val="007D6ACF"/>
    <w:rsid w:val="007E02C3"/>
    <w:rsid w:val="007E422E"/>
    <w:rsid w:val="007E63F2"/>
    <w:rsid w:val="007F0CCB"/>
    <w:rsid w:val="007F1B74"/>
    <w:rsid w:val="007F1F3D"/>
    <w:rsid w:val="007F5DF5"/>
    <w:rsid w:val="007F6456"/>
    <w:rsid w:val="0080565B"/>
    <w:rsid w:val="00806BBA"/>
    <w:rsid w:val="00807D46"/>
    <w:rsid w:val="008111C0"/>
    <w:rsid w:val="008175A2"/>
    <w:rsid w:val="00821A4A"/>
    <w:rsid w:val="00823858"/>
    <w:rsid w:val="008276C1"/>
    <w:rsid w:val="00827768"/>
    <w:rsid w:val="008278C9"/>
    <w:rsid w:val="00830393"/>
    <w:rsid w:val="00830C39"/>
    <w:rsid w:val="0083147A"/>
    <w:rsid w:val="00831F4B"/>
    <w:rsid w:val="00832C4F"/>
    <w:rsid w:val="00833D5A"/>
    <w:rsid w:val="008345DE"/>
    <w:rsid w:val="00837DA8"/>
    <w:rsid w:val="0084154F"/>
    <w:rsid w:val="008507B3"/>
    <w:rsid w:val="00850EA0"/>
    <w:rsid w:val="00856E28"/>
    <w:rsid w:val="00860371"/>
    <w:rsid w:val="00860EE7"/>
    <w:rsid w:val="00861371"/>
    <w:rsid w:val="00865840"/>
    <w:rsid w:val="00870502"/>
    <w:rsid w:val="00870674"/>
    <w:rsid w:val="008714EE"/>
    <w:rsid w:val="00874FD8"/>
    <w:rsid w:val="00876C98"/>
    <w:rsid w:val="00876EF4"/>
    <w:rsid w:val="00877A81"/>
    <w:rsid w:val="00880311"/>
    <w:rsid w:val="008809EB"/>
    <w:rsid w:val="0088218E"/>
    <w:rsid w:val="00891958"/>
    <w:rsid w:val="00891A07"/>
    <w:rsid w:val="00891A29"/>
    <w:rsid w:val="0089251F"/>
    <w:rsid w:val="0089260E"/>
    <w:rsid w:val="008931F6"/>
    <w:rsid w:val="00893AFC"/>
    <w:rsid w:val="00894546"/>
    <w:rsid w:val="00895449"/>
    <w:rsid w:val="00895610"/>
    <w:rsid w:val="008A1A99"/>
    <w:rsid w:val="008A47F5"/>
    <w:rsid w:val="008B45E8"/>
    <w:rsid w:val="008C10F4"/>
    <w:rsid w:val="008C19CE"/>
    <w:rsid w:val="008C30B1"/>
    <w:rsid w:val="008D037B"/>
    <w:rsid w:val="008D086E"/>
    <w:rsid w:val="008D3D9D"/>
    <w:rsid w:val="008D44EC"/>
    <w:rsid w:val="008D44F7"/>
    <w:rsid w:val="008D4DE5"/>
    <w:rsid w:val="008D5742"/>
    <w:rsid w:val="008D75D4"/>
    <w:rsid w:val="008D7D0F"/>
    <w:rsid w:val="008E2339"/>
    <w:rsid w:val="008E7625"/>
    <w:rsid w:val="008F1EE3"/>
    <w:rsid w:val="008F22A3"/>
    <w:rsid w:val="008F72A2"/>
    <w:rsid w:val="00902AD6"/>
    <w:rsid w:val="00902B3F"/>
    <w:rsid w:val="00906A9E"/>
    <w:rsid w:val="00906AA4"/>
    <w:rsid w:val="00907E79"/>
    <w:rsid w:val="00907EEA"/>
    <w:rsid w:val="00913BBE"/>
    <w:rsid w:val="00916518"/>
    <w:rsid w:val="00917E98"/>
    <w:rsid w:val="00920295"/>
    <w:rsid w:val="0092316C"/>
    <w:rsid w:val="00923E43"/>
    <w:rsid w:val="00925647"/>
    <w:rsid w:val="009258E9"/>
    <w:rsid w:val="009300A8"/>
    <w:rsid w:val="00931A52"/>
    <w:rsid w:val="009328D9"/>
    <w:rsid w:val="00932EF4"/>
    <w:rsid w:val="00935023"/>
    <w:rsid w:val="0093518A"/>
    <w:rsid w:val="0093567E"/>
    <w:rsid w:val="0094110A"/>
    <w:rsid w:val="00942431"/>
    <w:rsid w:val="009427C0"/>
    <w:rsid w:val="00942927"/>
    <w:rsid w:val="0094426A"/>
    <w:rsid w:val="009447AC"/>
    <w:rsid w:val="009450ED"/>
    <w:rsid w:val="00950CF7"/>
    <w:rsid w:val="00951327"/>
    <w:rsid w:val="00952F10"/>
    <w:rsid w:val="00954FF6"/>
    <w:rsid w:val="00955674"/>
    <w:rsid w:val="0096075F"/>
    <w:rsid w:val="00961CF4"/>
    <w:rsid w:val="009622ED"/>
    <w:rsid w:val="00963581"/>
    <w:rsid w:val="0096606A"/>
    <w:rsid w:val="00967224"/>
    <w:rsid w:val="00971078"/>
    <w:rsid w:val="00974584"/>
    <w:rsid w:val="009755AD"/>
    <w:rsid w:val="00976B0C"/>
    <w:rsid w:val="00977243"/>
    <w:rsid w:val="009806A5"/>
    <w:rsid w:val="00983F23"/>
    <w:rsid w:val="00985E9A"/>
    <w:rsid w:val="00986440"/>
    <w:rsid w:val="009959D8"/>
    <w:rsid w:val="009A23B5"/>
    <w:rsid w:val="009A53E8"/>
    <w:rsid w:val="009A7E2D"/>
    <w:rsid w:val="009B07B0"/>
    <w:rsid w:val="009B6B3D"/>
    <w:rsid w:val="009C1E47"/>
    <w:rsid w:val="009C2C89"/>
    <w:rsid w:val="009C35EC"/>
    <w:rsid w:val="009C4DA4"/>
    <w:rsid w:val="009D0B6A"/>
    <w:rsid w:val="009D67B7"/>
    <w:rsid w:val="009E1CE6"/>
    <w:rsid w:val="009E265A"/>
    <w:rsid w:val="009E54A8"/>
    <w:rsid w:val="009E603C"/>
    <w:rsid w:val="009E7BB8"/>
    <w:rsid w:val="009F0502"/>
    <w:rsid w:val="009F4403"/>
    <w:rsid w:val="00A0552C"/>
    <w:rsid w:val="00A06A65"/>
    <w:rsid w:val="00A06ECA"/>
    <w:rsid w:val="00A1262E"/>
    <w:rsid w:val="00A204F6"/>
    <w:rsid w:val="00A25B29"/>
    <w:rsid w:val="00A26F82"/>
    <w:rsid w:val="00A31B0B"/>
    <w:rsid w:val="00A32599"/>
    <w:rsid w:val="00A37D6E"/>
    <w:rsid w:val="00A40E45"/>
    <w:rsid w:val="00A4144A"/>
    <w:rsid w:val="00A42231"/>
    <w:rsid w:val="00A43EC5"/>
    <w:rsid w:val="00A448CE"/>
    <w:rsid w:val="00A46615"/>
    <w:rsid w:val="00A46C57"/>
    <w:rsid w:val="00A47290"/>
    <w:rsid w:val="00A57E54"/>
    <w:rsid w:val="00A639BF"/>
    <w:rsid w:val="00A662A4"/>
    <w:rsid w:val="00A66B97"/>
    <w:rsid w:val="00A66CEE"/>
    <w:rsid w:val="00A67CA8"/>
    <w:rsid w:val="00A72721"/>
    <w:rsid w:val="00A7463E"/>
    <w:rsid w:val="00A749AE"/>
    <w:rsid w:val="00A7530C"/>
    <w:rsid w:val="00A808E9"/>
    <w:rsid w:val="00A8492A"/>
    <w:rsid w:val="00A856B6"/>
    <w:rsid w:val="00A8795C"/>
    <w:rsid w:val="00A923C0"/>
    <w:rsid w:val="00A923E5"/>
    <w:rsid w:val="00A93B8C"/>
    <w:rsid w:val="00A9420C"/>
    <w:rsid w:val="00A94CA0"/>
    <w:rsid w:val="00A962FE"/>
    <w:rsid w:val="00A96BAB"/>
    <w:rsid w:val="00AA1996"/>
    <w:rsid w:val="00AA5442"/>
    <w:rsid w:val="00AA6ECE"/>
    <w:rsid w:val="00AB23C5"/>
    <w:rsid w:val="00AB5CEC"/>
    <w:rsid w:val="00AC027E"/>
    <w:rsid w:val="00AC0FDA"/>
    <w:rsid w:val="00AC24C9"/>
    <w:rsid w:val="00AD0D29"/>
    <w:rsid w:val="00AD442F"/>
    <w:rsid w:val="00AD5B9E"/>
    <w:rsid w:val="00AD7842"/>
    <w:rsid w:val="00AE0081"/>
    <w:rsid w:val="00AE0780"/>
    <w:rsid w:val="00AE10F9"/>
    <w:rsid w:val="00AE2113"/>
    <w:rsid w:val="00AE52F8"/>
    <w:rsid w:val="00AE55AF"/>
    <w:rsid w:val="00AF1EC3"/>
    <w:rsid w:val="00B027CA"/>
    <w:rsid w:val="00B0514D"/>
    <w:rsid w:val="00B053B0"/>
    <w:rsid w:val="00B106F3"/>
    <w:rsid w:val="00B10DE2"/>
    <w:rsid w:val="00B1246B"/>
    <w:rsid w:val="00B133E7"/>
    <w:rsid w:val="00B17C4F"/>
    <w:rsid w:val="00B2069A"/>
    <w:rsid w:val="00B22457"/>
    <w:rsid w:val="00B22855"/>
    <w:rsid w:val="00B261CB"/>
    <w:rsid w:val="00B27A31"/>
    <w:rsid w:val="00B3242D"/>
    <w:rsid w:val="00B331C9"/>
    <w:rsid w:val="00B37B46"/>
    <w:rsid w:val="00B402AD"/>
    <w:rsid w:val="00B40CD1"/>
    <w:rsid w:val="00B43D8A"/>
    <w:rsid w:val="00B441D1"/>
    <w:rsid w:val="00B462E8"/>
    <w:rsid w:val="00B469BE"/>
    <w:rsid w:val="00B50F16"/>
    <w:rsid w:val="00B53154"/>
    <w:rsid w:val="00B67E56"/>
    <w:rsid w:val="00B72074"/>
    <w:rsid w:val="00B738F0"/>
    <w:rsid w:val="00B73E52"/>
    <w:rsid w:val="00B749C1"/>
    <w:rsid w:val="00B750C7"/>
    <w:rsid w:val="00B77C23"/>
    <w:rsid w:val="00B818A1"/>
    <w:rsid w:val="00B81B82"/>
    <w:rsid w:val="00BA58C4"/>
    <w:rsid w:val="00BA641E"/>
    <w:rsid w:val="00BA660A"/>
    <w:rsid w:val="00BB0B94"/>
    <w:rsid w:val="00BB1F35"/>
    <w:rsid w:val="00BB1F42"/>
    <w:rsid w:val="00BB57A3"/>
    <w:rsid w:val="00BB5FAF"/>
    <w:rsid w:val="00BC2133"/>
    <w:rsid w:val="00BD1DE0"/>
    <w:rsid w:val="00BD4C17"/>
    <w:rsid w:val="00BD5719"/>
    <w:rsid w:val="00BD7ABC"/>
    <w:rsid w:val="00BE035F"/>
    <w:rsid w:val="00BE08C3"/>
    <w:rsid w:val="00BE2667"/>
    <w:rsid w:val="00BE44A9"/>
    <w:rsid w:val="00BE4CA1"/>
    <w:rsid w:val="00BE4F3A"/>
    <w:rsid w:val="00BE5090"/>
    <w:rsid w:val="00BE5208"/>
    <w:rsid w:val="00BF10AB"/>
    <w:rsid w:val="00BF1F82"/>
    <w:rsid w:val="00BF38CB"/>
    <w:rsid w:val="00BF3A8F"/>
    <w:rsid w:val="00BF490E"/>
    <w:rsid w:val="00BF49C7"/>
    <w:rsid w:val="00BF6927"/>
    <w:rsid w:val="00BF7502"/>
    <w:rsid w:val="00BF7750"/>
    <w:rsid w:val="00C019A6"/>
    <w:rsid w:val="00C019DE"/>
    <w:rsid w:val="00C07607"/>
    <w:rsid w:val="00C102E5"/>
    <w:rsid w:val="00C136A3"/>
    <w:rsid w:val="00C13A6C"/>
    <w:rsid w:val="00C15A25"/>
    <w:rsid w:val="00C16103"/>
    <w:rsid w:val="00C22054"/>
    <w:rsid w:val="00C24266"/>
    <w:rsid w:val="00C24FB2"/>
    <w:rsid w:val="00C25A0D"/>
    <w:rsid w:val="00C25EE4"/>
    <w:rsid w:val="00C26013"/>
    <w:rsid w:val="00C327EA"/>
    <w:rsid w:val="00C32887"/>
    <w:rsid w:val="00C3390C"/>
    <w:rsid w:val="00C368F2"/>
    <w:rsid w:val="00C3726C"/>
    <w:rsid w:val="00C37A26"/>
    <w:rsid w:val="00C41962"/>
    <w:rsid w:val="00C432A6"/>
    <w:rsid w:val="00C45057"/>
    <w:rsid w:val="00C45352"/>
    <w:rsid w:val="00C46510"/>
    <w:rsid w:val="00C5203B"/>
    <w:rsid w:val="00C572A2"/>
    <w:rsid w:val="00C62C45"/>
    <w:rsid w:val="00C62DB3"/>
    <w:rsid w:val="00C639B5"/>
    <w:rsid w:val="00C639F7"/>
    <w:rsid w:val="00C66597"/>
    <w:rsid w:val="00C77924"/>
    <w:rsid w:val="00C80ABB"/>
    <w:rsid w:val="00C82A13"/>
    <w:rsid w:val="00C840C0"/>
    <w:rsid w:val="00C87668"/>
    <w:rsid w:val="00C92FB3"/>
    <w:rsid w:val="00C9360F"/>
    <w:rsid w:val="00C95F3D"/>
    <w:rsid w:val="00C96BF5"/>
    <w:rsid w:val="00CA6C7B"/>
    <w:rsid w:val="00CB1ADA"/>
    <w:rsid w:val="00CB2BCB"/>
    <w:rsid w:val="00CB4720"/>
    <w:rsid w:val="00CB6408"/>
    <w:rsid w:val="00CC3F6D"/>
    <w:rsid w:val="00CC6D14"/>
    <w:rsid w:val="00CD1303"/>
    <w:rsid w:val="00CD1DE5"/>
    <w:rsid w:val="00CD313A"/>
    <w:rsid w:val="00CD344D"/>
    <w:rsid w:val="00CD5FA2"/>
    <w:rsid w:val="00CE43C4"/>
    <w:rsid w:val="00CE52AC"/>
    <w:rsid w:val="00CF13FF"/>
    <w:rsid w:val="00CF2E90"/>
    <w:rsid w:val="00CF350A"/>
    <w:rsid w:val="00CF3567"/>
    <w:rsid w:val="00CF3BE0"/>
    <w:rsid w:val="00CF48D0"/>
    <w:rsid w:val="00CF657E"/>
    <w:rsid w:val="00D02BC5"/>
    <w:rsid w:val="00D02D5A"/>
    <w:rsid w:val="00D04484"/>
    <w:rsid w:val="00D047CB"/>
    <w:rsid w:val="00D05DDA"/>
    <w:rsid w:val="00D10C1D"/>
    <w:rsid w:val="00D13B02"/>
    <w:rsid w:val="00D15D73"/>
    <w:rsid w:val="00D168F0"/>
    <w:rsid w:val="00D17F53"/>
    <w:rsid w:val="00D22FE8"/>
    <w:rsid w:val="00D2388D"/>
    <w:rsid w:val="00D2566B"/>
    <w:rsid w:val="00D259F8"/>
    <w:rsid w:val="00D25F70"/>
    <w:rsid w:val="00D27F92"/>
    <w:rsid w:val="00D30770"/>
    <w:rsid w:val="00D3134A"/>
    <w:rsid w:val="00D33DCC"/>
    <w:rsid w:val="00D36C0C"/>
    <w:rsid w:val="00D43061"/>
    <w:rsid w:val="00D461ED"/>
    <w:rsid w:val="00D468F0"/>
    <w:rsid w:val="00D47D24"/>
    <w:rsid w:val="00D545A6"/>
    <w:rsid w:val="00D5526B"/>
    <w:rsid w:val="00D562AE"/>
    <w:rsid w:val="00D60E2A"/>
    <w:rsid w:val="00D61237"/>
    <w:rsid w:val="00D66962"/>
    <w:rsid w:val="00D702D1"/>
    <w:rsid w:val="00D73B05"/>
    <w:rsid w:val="00D740A0"/>
    <w:rsid w:val="00D81B36"/>
    <w:rsid w:val="00D81CB9"/>
    <w:rsid w:val="00D81F1B"/>
    <w:rsid w:val="00D823A3"/>
    <w:rsid w:val="00D836F7"/>
    <w:rsid w:val="00D84980"/>
    <w:rsid w:val="00D87154"/>
    <w:rsid w:val="00D87D9C"/>
    <w:rsid w:val="00D91857"/>
    <w:rsid w:val="00D92B3B"/>
    <w:rsid w:val="00D9432C"/>
    <w:rsid w:val="00D969F2"/>
    <w:rsid w:val="00D97B15"/>
    <w:rsid w:val="00DA01A8"/>
    <w:rsid w:val="00DA0806"/>
    <w:rsid w:val="00DA1E8A"/>
    <w:rsid w:val="00DA271A"/>
    <w:rsid w:val="00DA2DD6"/>
    <w:rsid w:val="00DA3B8B"/>
    <w:rsid w:val="00DA6A50"/>
    <w:rsid w:val="00DA7DED"/>
    <w:rsid w:val="00DB2222"/>
    <w:rsid w:val="00DB2595"/>
    <w:rsid w:val="00DB3244"/>
    <w:rsid w:val="00DB3517"/>
    <w:rsid w:val="00DB379D"/>
    <w:rsid w:val="00DB581E"/>
    <w:rsid w:val="00DB64EC"/>
    <w:rsid w:val="00DB69C0"/>
    <w:rsid w:val="00DB6A01"/>
    <w:rsid w:val="00DC3DF2"/>
    <w:rsid w:val="00DC7162"/>
    <w:rsid w:val="00DD0F27"/>
    <w:rsid w:val="00DD15F9"/>
    <w:rsid w:val="00DD1DAC"/>
    <w:rsid w:val="00DD25DA"/>
    <w:rsid w:val="00DD33BE"/>
    <w:rsid w:val="00DD5898"/>
    <w:rsid w:val="00DD7823"/>
    <w:rsid w:val="00DE6525"/>
    <w:rsid w:val="00DF00BB"/>
    <w:rsid w:val="00DF06A6"/>
    <w:rsid w:val="00DF1E27"/>
    <w:rsid w:val="00DF4A30"/>
    <w:rsid w:val="00DF7B69"/>
    <w:rsid w:val="00E004CF"/>
    <w:rsid w:val="00E0050C"/>
    <w:rsid w:val="00E044C9"/>
    <w:rsid w:val="00E052FA"/>
    <w:rsid w:val="00E064B0"/>
    <w:rsid w:val="00E11414"/>
    <w:rsid w:val="00E117E3"/>
    <w:rsid w:val="00E2450C"/>
    <w:rsid w:val="00E26936"/>
    <w:rsid w:val="00E3394F"/>
    <w:rsid w:val="00E340B5"/>
    <w:rsid w:val="00E370E5"/>
    <w:rsid w:val="00E4001E"/>
    <w:rsid w:val="00E40A27"/>
    <w:rsid w:val="00E45BAC"/>
    <w:rsid w:val="00E51426"/>
    <w:rsid w:val="00E51EF0"/>
    <w:rsid w:val="00E53ACA"/>
    <w:rsid w:val="00E53F95"/>
    <w:rsid w:val="00E54D9B"/>
    <w:rsid w:val="00E5657E"/>
    <w:rsid w:val="00E56B44"/>
    <w:rsid w:val="00E611E5"/>
    <w:rsid w:val="00E6564B"/>
    <w:rsid w:val="00E700AF"/>
    <w:rsid w:val="00E726E4"/>
    <w:rsid w:val="00E737C6"/>
    <w:rsid w:val="00E742A8"/>
    <w:rsid w:val="00E767F6"/>
    <w:rsid w:val="00E83F4C"/>
    <w:rsid w:val="00E848E9"/>
    <w:rsid w:val="00E86F8F"/>
    <w:rsid w:val="00E872F2"/>
    <w:rsid w:val="00E87497"/>
    <w:rsid w:val="00E92386"/>
    <w:rsid w:val="00E93B85"/>
    <w:rsid w:val="00E9409E"/>
    <w:rsid w:val="00E97360"/>
    <w:rsid w:val="00EA12C7"/>
    <w:rsid w:val="00EA278C"/>
    <w:rsid w:val="00EA28BB"/>
    <w:rsid w:val="00EA34F2"/>
    <w:rsid w:val="00EA472C"/>
    <w:rsid w:val="00EA7138"/>
    <w:rsid w:val="00EA7EFC"/>
    <w:rsid w:val="00EB2974"/>
    <w:rsid w:val="00EB2C57"/>
    <w:rsid w:val="00EB2D41"/>
    <w:rsid w:val="00EB50BF"/>
    <w:rsid w:val="00EB533C"/>
    <w:rsid w:val="00EB6588"/>
    <w:rsid w:val="00EC299C"/>
    <w:rsid w:val="00EC3F58"/>
    <w:rsid w:val="00EC5B31"/>
    <w:rsid w:val="00EC65E9"/>
    <w:rsid w:val="00ED28E4"/>
    <w:rsid w:val="00ED3976"/>
    <w:rsid w:val="00ED45D6"/>
    <w:rsid w:val="00ED5236"/>
    <w:rsid w:val="00ED52C2"/>
    <w:rsid w:val="00ED5D8E"/>
    <w:rsid w:val="00ED60E5"/>
    <w:rsid w:val="00ED6D21"/>
    <w:rsid w:val="00EE0940"/>
    <w:rsid w:val="00EE56EE"/>
    <w:rsid w:val="00EE686F"/>
    <w:rsid w:val="00EE6CB3"/>
    <w:rsid w:val="00EF2DB6"/>
    <w:rsid w:val="00EF32C5"/>
    <w:rsid w:val="00EF7260"/>
    <w:rsid w:val="00F028A9"/>
    <w:rsid w:val="00F10120"/>
    <w:rsid w:val="00F116B0"/>
    <w:rsid w:val="00F130BF"/>
    <w:rsid w:val="00F13AAA"/>
    <w:rsid w:val="00F13F6B"/>
    <w:rsid w:val="00F14C5F"/>
    <w:rsid w:val="00F159A1"/>
    <w:rsid w:val="00F170B6"/>
    <w:rsid w:val="00F21CEC"/>
    <w:rsid w:val="00F229A7"/>
    <w:rsid w:val="00F24C0F"/>
    <w:rsid w:val="00F24F56"/>
    <w:rsid w:val="00F25708"/>
    <w:rsid w:val="00F26955"/>
    <w:rsid w:val="00F26971"/>
    <w:rsid w:val="00F272FB"/>
    <w:rsid w:val="00F3126A"/>
    <w:rsid w:val="00F321D3"/>
    <w:rsid w:val="00F32EC5"/>
    <w:rsid w:val="00F331A6"/>
    <w:rsid w:val="00F33243"/>
    <w:rsid w:val="00F36A17"/>
    <w:rsid w:val="00F36E7B"/>
    <w:rsid w:val="00F4105E"/>
    <w:rsid w:val="00F4482C"/>
    <w:rsid w:val="00F46D89"/>
    <w:rsid w:val="00F47A4E"/>
    <w:rsid w:val="00F5273D"/>
    <w:rsid w:val="00F53251"/>
    <w:rsid w:val="00F53F59"/>
    <w:rsid w:val="00F55518"/>
    <w:rsid w:val="00F57379"/>
    <w:rsid w:val="00F616DA"/>
    <w:rsid w:val="00F626DF"/>
    <w:rsid w:val="00F63500"/>
    <w:rsid w:val="00F6670B"/>
    <w:rsid w:val="00F678A1"/>
    <w:rsid w:val="00F7460A"/>
    <w:rsid w:val="00F752B6"/>
    <w:rsid w:val="00F76F95"/>
    <w:rsid w:val="00F85D0B"/>
    <w:rsid w:val="00F87634"/>
    <w:rsid w:val="00F9027A"/>
    <w:rsid w:val="00F955B5"/>
    <w:rsid w:val="00FA3135"/>
    <w:rsid w:val="00FB1F29"/>
    <w:rsid w:val="00FB228D"/>
    <w:rsid w:val="00FB57E9"/>
    <w:rsid w:val="00FC1B97"/>
    <w:rsid w:val="00FC2448"/>
    <w:rsid w:val="00FC591D"/>
    <w:rsid w:val="00FC6F37"/>
    <w:rsid w:val="00FC7379"/>
    <w:rsid w:val="00FC77F6"/>
    <w:rsid w:val="00FD29B5"/>
    <w:rsid w:val="00FD4B8D"/>
    <w:rsid w:val="00FD7A70"/>
    <w:rsid w:val="00FE06BE"/>
    <w:rsid w:val="00FE682B"/>
    <w:rsid w:val="00FE7AB0"/>
    <w:rsid w:val="00FF40C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A43C7"/>
  <w15:docId w15:val="{FB3A09F9-F41F-413A-8934-31234ACC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C25EE4"/>
    <w:pPr>
      <w:spacing w:before="120" w:after="120"/>
    </w:pPr>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5339ED"/>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5339ED"/>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rPr>
      <w:b/>
      <w:sz w:val="20"/>
      <w:szCs w:val="20"/>
    </w:rPr>
  </w:style>
  <w:style w:type="paragraph" w:customStyle="1" w:styleId="FSTableFigureHeading">
    <w:name w:val="FSTable/Figure Heading"/>
    <w:basedOn w:val="Normal"/>
    <w:uiPriority w:val="7"/>
    <w:qFormat/>
    <w:locked/>
    <w:rsid w:val="00404702"/>
    <w:pPr>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unhideWhenUsed/>
    <w:rsid w:val="00BF7750"/>
    <w:rPr>
      <w:vertAlign w:val="superscript"/>
    </w:rPr>
  </w:style>
  <w:style w:type="character" w:styleId="Hyperlink">
    <w:name w:val="Hyperlink"/>
    <w:basedOn w:val="DefaultParagraphFont"/>
    <w:uiPriority w:val="99"/>
    <w:unhideWhenUsed/>
    <w:rsid w:val="00C45352"/>
    <w:rPr>
      <w:color w:val="0000FF" w:themeColor="hyperlink"/>
      <w:u w:val="single"/>
    </w:rPr>
  </w:style>
  <w:style w:type="paragraph" w:customStyle="1" w:styleId="AARBullet">
    <w:name w:val="AAR Bullet"/>
    <w:basedOn w:val="ListParagraph"/>
    <w:uiPriority w:val="99"/>
    <w:qFormat/>
    <w:rsid w:val="0023537A"/>
    <w:pPr>
      <w:keepLines/>
      <w:numPr>
        <w:numId w:val="4"/>
      </w:numPr>
      <w:ind w:left="714" w:hanging="357"/>
    </w:pPr>
  </w:style>
  <w:style w:type="paragraph" w:customStyle="1" w:styleId="FSTitle">
    <w:name w:val="FS Title"/>
    <w:basedOn w:val="Normal"/>
    <w:qFormat/>
    <w:rsid w:val="002C5227"/>
    <w:pPr>
      <w:widowControl w:val="0"/>
    </w:pPr>
    <w:rPr>
      <w:rFonts w:eastAsia="Times New Roman" w:cs="Tahoma"/>
      <w:bCs/>
      <w:sz w:val="32"/>
      <w:szCs w:val="24"/>
      <w:lang w:bidi="en-US"/>
    </w:rPr>
  </w:style>
  <w:style w:type="character" w:styleId="CommentReference">
    <w:name w:val="annotation reference"/>
    <w:basedOn w:val="DefaultParagraphFont"/>
    <w:uiPriority w:val="99"/>
    <w:semiHidden/>
    <w:unhideWhenUsed/>
    <w:rsid w:val="00EE6CB3"/>
    <w:rPr>
      <w:sz w:val="16"/>
      <w:szCs w:val="16"/>
    </w:rPr>
  </w:style>
  <w:style w:type="paragraph" w:styleId="CommentText">
    <w:name w:val="annotation text"/>
    <w:basedOn w:val="Normal"/>
    <w:link w:val="CommentTextChar"/>
    <w:uiPriority w:val="99"/>
    <w:unhideWhenUsed/>
    <w:rsid w:val="00EE6CB3"/>
    <w:rPr>
      <w:sz w:val="20"/>
      <w:szCs w:val="20"/>
    </w:rPr>
  </w:style>
  <w:style w:type="character" w:customStyle="1" w:styleId="CommentTextChar">
    <w:name w:val="Comment Text Char"/>
    <w:basedOn w:val="DefaultParagraphFont"/>
    <w:link w:val="CommentText"/>
    <w:uiPriority w:val="99"/>
    <w:rsid w:val="00EE6CB3"/>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E6CB3"/>
    <w:rPr>
      <w:b/>
      <w:bCs/>
    </w:rPr>
  </w:style>
  <w:style w:type="character" w:customStyle="1" w:styleId="CommentSubjectChar">
    <w:name w:val="Comment Subject Char"/>
    <w:basedOn w:val="CommentTextChar"/>
    <w:link w:val="CommentSubject"/>
    <w:uiPriority w:val="99"/>
    <w:semiHidden/>
    <w:rsid w:val="00EE6CB3"/>
    <w:rPr>
      <w:rFonts w:cstheme="minorBidi"/>
      <w:b/>
      <w:bCs/>
      <w:sz w:val="20"/>
      <w:szCs w:val="20"/>
      <w:lang w:val="en-GB"/>
    </w:rPr>
  </w:style>
  <w:style w:type="paragraph" w:styleId="BalloonText">
    <w:name w:val="Balloon Text"/>
    <w:basedOn w:val="Normal"/>
    <w:link w:val="BalloonTextChar"/>
    <w:uiPriority w:val="99"/>
    <w:semiHidden/>
    <w:unhideWhenUsed/>
    <w:rsid w:val="00EE6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B3"/>
    <w:rPr>
      <w:rFonts w:ascii="Segoe UI" w:hAnsi="Segoe UI" w:cs="Segoe UI"/>
      <w:sz w:val="18"/>
      <w:szCs w:val="18"/>
      <w:lang w:val="en-GB"/>
    </w:rPr>
  </w:style>
  <w:style w:type="table" w:styleId="TableGrid">
    <w:name w:val="Table Grid"/>
    <w:basedOn w:val="TableNormal"/>
    <w:uiPriority w:val="59"/>
    <w:rsid w:val="00E7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0F26"/>
    <w:pPr>
      <w:autoSpaceDE w:val="0"/>
      <w:autoSpaceDN w:val="0"/>
      <w:adjustRightInd w:val="0"/>
    </w:pPr>
    <w:rPr>
      <w:color w:val="000000"/>
      <w:sz w:val="24"/>
      <w:szCs w:val="24"/>
      <w:lang w:val="en-GB"/>
    </w:rPr>
  </w:style>
  <w:style w:type="paragraph" w:customStyle="1" w:styleId="FSBullet">
    <w:name w:val="FS Bullet"/>
    <w:basedOn w:val="Normal"/>
    <w:next w:val="Normal"/>
    <w:link w:val="FSBulletChar"/>
    <w:qFormat/>
    <w:rsid w:val="00127A88"/>
    <w:pPr>
      <w:widowControl w:val="0"/>
      <w:ind w:left="567" w:hanging="567"/>
    </w:pPr>
    <w:rPr>
      <w:rFonts w:eastAsia="Times New Roman" w:cs="Arial"/>
      <w:szCs w:val="24"/>
      <w:lang w:bidi="en-US"/>
    </w:rPr>
  </w:style>
  <w:style w:type="character" w:customStyle="1" w:styleId="FSBulletChar">
    <w:name w:val="FS Bullet Char"/>
    <w:basedOn w:val="DefaultParagraphFont"/>
    <w:link w:val="FSBullet"/>
    <w:rsid w:val="00127A88"/>
    <w:rPr>
      <w:rFonts w:eastAsia="Times New Roman"/>
      <w:szCs w:val="24"/>
      <w:lang w:val="en-GB" w:bidi="en-US"/>
    </w:rPr>
  </w:style>
  <w:style w:type="paragraph" w:styleId="NormalWeb">
    <w:name w:val="Normal (Web)"/>
    <w:basedOn w:val="Normal"/>
    <w:uiPriority w:val="99"/>
    <w:semiHidden/>
    <w:unhideWhenUsed/>
    <w:rsid w:val="00F21CE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ableText">
    <w:name w:val="TableText"/>
    <w:basedOn w:val="Normal"/>
    <w:uiPriority w:val="99"/>
    <w:qFormat/>
    <w:rsid w:val="00F21CEC"/>
    <w:rPr>
      <w:rFonts w:eastAsiaTheme="majorEastAsia" w:cs="Arial"/>
      <w:bCs/>
      <w:sz w:val="20"/>
      <w:szCs w:val="20"/>
      <w:lang w:val="en-AU"/>
    </w:rPr>
  </w:style>
  <w:style w:type="character" w:styleId="FollowedHyperlink">
    <w:name w:val="FollowedHyperlink"/>
    <w:basedOn w:val="DefaultParagraphFont"/>
    <w:uiPriority w:val="99"/>
    <w:semiHidden/>
    <w:unhideWhenUsed/>
    <w:rsid w:val="00C102E5"/>
    <w:rPr>
      <w:color w:val="800080" w:themeColor="followedHyperlink"/>
      <w:u w:val="single"/>
    </w:rPr>
  </w:style>
  <w:style w:type="paragraph" w:styleId="Revision">
    <w:name w:val="Revision"/>
    <w:hidden/>
    <w:uiPriority w:val="99"/>
    <w:semiHidden/>
    <w:rsid w:val="006F4977"/>
    <w:rPr>
      <w:rFonts w:cstheme="minorBidi"/>
      <w:lang w:val="en-GB"/>
    </w:rPr>
  </w:style>
  <w:style w:type="paragraph" w:styleId="Caption">
    <w:name w:val="caption"/>
    <w:basedOn w:val="Normal"/>
    <w:next w:val="Normal"/>
    <w:uiPriority w:val="35"/>
    <w:unhideWhenUsed/>
    <w:qFormat/>
    <w:rsid w:val="008C19CE"/>
    <w:pPr>
      <w:spacing w:before="0" w:after="200"/>
    </w:pPr>
    <w:rPr>
      <w:i/>
      <w:iCs/>
      <w:color w:val="1F497D" w:themeColor="text2"/>
      <w:sz w:val="18"/>
      <w:szCs w:val="18"/>
    </w:rPr>
  </w:style>
  <w:style w:type="paragraph" w:customStyle="1" w:styleId="ISCnumbered">
    <w:name w:val="ISC numbered"/>
    <w:basedOn w:val="BodyTextIndent2"/>
    <w:uiPriority w:val="99"/>
    <w:rsid w:val="00F028A9"/>
    <w:pPr>
      <w:widowControl w:val="0"/>
      <w:numPr>
        <w:numId w:val="5"/>
      </w:numPr>
      <w:tabs>
        <w:tab w:val="clear" w:pos="360"/>
        <w:tab w:val="left" w:pos="426"/>
        <w:tab w:val="left" w:pos="709"/>
      </w:tabs>
      <w:spacing w:before="0" w:line="240" w:lineRule="auto"/>
    </w:pPr>
    <w:rPr>
      <w:rFonts w:ascii="Times New Roman" w:eastAsia="Times New Roman" w:hAnsi="Times New Roman" w:cs="Times New Roman"/>
      <w:sz w:val="24"/>
      <w:szCs w:val="24"/>
      <w:lang w:val="en-AU"/>
    </w:rPr>
  </w:style>
  <w:style w:type="paragraph" w:customStyle="1" w:styleId="ISCbulleted">
    <w:name w:val="ISC bulleted"/>
    <w:basedOn w:val="Normal"/>
    <w:rsid w:val="00F028A9"/>
    <w:pPr>
      <w:numPr>
        <w:numId w:val="6"/>
      </w:numPr>
      <w:tabs>
        <w:tab w:val="left" w:pos="567"/>
      </w:tabs>
      <w:spacing w:before="0"/>
    </w:pPr>
    <w:rPr>
      <w:rFonts w:ascii="Times New Roman" w:eastAsia="Times New Roman" w:hAnsi="Times New Roman" w:cs="Times New Roman"/>
      <w:sz w:val="24"/>
      <w:szCs w:val="24"/>
      <w:lang w:val="en-AU" w:eastAsia="en-AU"/>
    </w:rPr>
  </w:style>
  <w:style w:type="paragraph" w:styleId="BodyTextIndent2">
    <w:name w:val="Body Text Indent 2"/>
    <w:basedOn w:val="Normal"/>
    <w:link w:val="BodyTextIndent2Char"/>
    <w:uiPriority w:val="99"/>
    <w:semiHidden/>
    <w:unhideWhenUsed/>
    <w:rsid w:val="00F028A9"/>
    <w:pPr>
      <w:spacing w:line="480" w:lineRule="auto"/>
      <w:ind w:left="283"/>
    </w:pPr>
  </w:style>
  <w:style w:type="character" w:customStyle="1" w:styleId="BodyTextIndent2Char">
    <w:name w:val="Body Text Indent 2 Char"/>
    <w:basedOn w:val="DefaultParagraphFont"/>
    <w:link w:val="BodyTextIndent2"/>
    <w:uiPriority w:val="99"/>
    <w:semiHidden/>
    <w:rsid w:val="00F028A9"/>
    <w:rPr>
      <w:rFonts w:cstheme="minorBidi"/>
      <w:lang w:val="en-GB"/>
    </w:rPr>
  </w:style>
  <w:style w:type="character" w:customStyle="1" w:styleId="mixed-citation">
    <w:name w:val="mixed-citation"/>
    <w:basedOn w:val="DefaultParagraphFont"/>
    <w:rsid w:val="00923E43"/>
  </w:style>
  <w:style w:type="character" w:customStyle="1" w:styleId="ref-title">
    <w:name w:val="ref-title"/>
    <w:basedOn w:val="DefaultParagraphFont"/>
    <w:rsid w:val="00923E43"/>
  </w:style>
  <w:style w:type="character" w:customStyle="1" w:styleId="ref-journal">
    <w:name w:val="ref-journal"/>
    <w:basedOn w:val="DefaultParagraphFont"/>
    <w:rsid w:val="00923E43"/>
  </w:style>
  <w:style w:type="character" w:customStyle="1" w:styleId="ref-vol">
    <w:name w:val="ref-vol"/>
    <w:basedOn w:val="DefaultParagraphFont"/>
    <w:rsid w:val="00923E43"/>
  </w:style>
  <w:style w:type="character" w:customStyle="1" w:styleId="nowrap1">
    <w:name w:val="nowrap1"/>
    <w:basedOn w:val="DefaultParagraphFont"/>
    <w:rsid w:val="00923E43"/>
  </w:style>
  <w:style w:type="paragraph" w:styleId="TOCHeading">
    <w:name w:val="TOC Heading"/>
    <w:basedOn w:val="Heading1"/>
    <w:next w:val="Normal"/>
    <w:uiPriority w:val="39"/>
    <w:unhideWhenUsed/>
    <w:qFormat/>
    <w:rsid w:val="0092316C"/>
    <w:pPr>
      <w:keepLines/>
      <w:spacing w:before="240" w:after="0" w:line="259" w:lineRule="auto"/>
      <w:ind w:left="0" w:firstLine="0"/>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D47D24"/>
    <w:pPr>
      <w:tabs>
        <w:tab w:val="left" w:pos="440"/>
        <w:tab w:val="right" w:leader="dot" w:pos="9060"/>
      </w:tabs>
      <w:spacing w:after="100"/>
    </w:pPr>
    <w:rPr>
      <w:b/>
      <w:noProof/>
    </w:rPr>
  </w:style>
  <w:style w:type="paragraph" w:styleId="TOC2">
    <w:name w:val="toc 2"/>
    <w:basedOn w:val="Normal"/>
    <w:next w:val="Normal"/>
    <w:autoRedefine/>
    <w:uiPriority w:val="39"/>
    <w:unhideWhenUsed/>
    <w:rsid w:val="0092316C"/>
    <w:pPr>
      <w:spacing w:after="100"/>
      <w:ind w:left="220"/>
    </w:pPr>
  </w:style>
  <w:style w:type="paragraph" w:styleId="TOC3">
    <w:name w:val="toc 3"/>
    <w:basedOn w:val="Normal"/>
    <w:next w:val="Normal"/>
    <w:autoRedefine/>
    <w:uiPriority w:val="39"/>
    <w:unhideWhenUsed/>
    <w:rsid w:val="0092316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4339">
      <w:bodyDiv w:val="1"/>
      <w:marLeft w:val="0"/>
      <w:marRight w:val="0"/>
      <w:marTop w:val="0"/>
      <w:marBottom w:val="0"/>
      <w:divBdr>
        <w:top w:val="none" w:sz="0" w:space="0" w:color="auto"/>
        <w:left w:val="none" w:sz="0" w:space="0" w:color="auto"/>
        <w:bottom w:val="none" w:sz="0" w:space="0" w:color="auto"/>
        <w:right w:val="none" w:sz="0" w:space="0" w:color="auto"/>
      </w:divBdr>
      <w:divsChild>
        <w:div w:id="1622035278">
          <w:marLeft w:val="0"/>
          <w:marRight w:val="0"/>
          <w:marTop w:val="0"/>
          <w:marBottom w:val="0"/>
          <w:divBdr>
            <w:top w:val="none" w:sz="0" w:space="0" w:color="auto"/>
            <w:left w:val="none" w:sz="0" w:space="0" w:color="auto"/>
            <w:bottom w:val="none" w:sz="0" w:space="0" w:color="auto"/>
            <w:right w:val="none" w:sz="0" w:space="0" w:color="auto"/>
          </w:divBdr>
          <w:divsChild>
            <w:div w:id="1155337202">
              <w:marLeft w:val="0"/>
              <w:marRight w:val="0"/>
              <w:marTop w:val="0"/>
              <w:marBottom w:val="0"/>
              <w:divBdr>
                <w:top w:val="none" w:sz="0" w:space="0" w:color="auto"/>
                <w:left w:val="none" w:sz="0" w:space="0" w:color="auto"/>
                <w:bottom w:val="none" w:sz="0" w:space="0" w:color="auto"/>
                <w:right w:val="none" w:sz="0" w:space="0" w:color="auto"/>
              </w:divBdr>
              <w:divsChild>
                <w:div w:id="142043992">
                  <w:marLeft w:val="0"/>
                  <w:marRight w:val="0"/>
                  <w:marTop w:val="0"/>
                  <w:marBottom w:val="0"/>
                  <w:divBdr>
                    <w:top w:val="none" w:sz="0" w:space="0" w:color="auto"/>
                    <w:left w:val="none" w:sz="0" w:space="0" w:color="auto"/>
                    <w:bottom w:val="none" w:sz="0" w:space="0" w:color="auto"/>
                    <w:right w:val="none" w:sz="0" w:space="0" w:color="auto"/>
                  </w:divBdr>
                  <w:divsChild>
                    <w:div w:id="689066797">
                      <w:marLeft w:val="0"/>
                      <w:marRight w:val="0"/>
                      <w:marTop w:val="0"/>
                      <w:marBottom w:val="0"/>
                      <w:divBdr>
                        <w:top w:val="none" w:sz="0" w:space="0" w:color="auto"/>
                        <w:left w:val="none" w:sz="0" w:space="0" w:color="auto"/>
                        <w:bottom w:val="none" w:sz="0" w:space="0" w:color="auto"/>
                        <w:right w:val="none" w:sz="0" w:space="0" w:color="auto"/>
                      </w:divBdr>
                      <w:divsChild>
                        <w:div w:id="216363144">
                          <w:marLeft w:val="0"/>
                          <w:marRight w:val="0"/>
                          <w:marTop w:val="0"/>
                          <w:marBottom w:val="0"/>
                          <w:divBdr>
                            <w:top w:val="none" w:sz="0" w:space="0" w:color="auto"/>
                            <w:left w:val="none" w:sz="0" w:space="0" w:color="auto"/>
                            <w:bottom w:val="none" w:sz="0" w:space="0" w:color="auto"/>
                            <w:right w:val="none" w:sz="0" w:space="0" w:color="auto"/>
                          </w:divBdr>
                          <w:divsChild>
                            <w:div w:id="1444183189">
                              <w:marLeft w:val="0"/>
                              <w:marRight w:val="0"/>
                              <w:marTop w:val="0"/>
                              <w:marBottom w:val="0"/>
                              <w:divBdr>
                                <w:top w:val="none" w:sz="0" w:space="0" w:color="auto"/>
                                <w:left w:val="none" w:sz="0" w:space="0" w:color="auto"/>
                                <w:bottom w:val="none" w:sz="0" w:space="0" w:color="auto"/>
                                <w:right w:val="none" w:sz="0" w:space="0" w:color="auto"/>
                              </w:divBdr>
                              <w:divsChild>
                                <w:div w:id="991561877">
                                  <w:marLeft w:val="0"/>
                                  <w:marRight w:val="0"/>
                                  <w:marTop w:val="0"/>
                                  <w:marBottom w:val="0"/>
                                  <w:divBdr>
                                    <w:top w:val="none" w:sz="0" w:space="0" w:color="auto"/>
                                    <w:left w:val="none" w:sz="0" w:space="0" w:color="auto"/>
                                    <w:bottom w:val="none" w:sz="0" w:space="0" w:color="auto"/>
                                    <w:right w:val="none" w:sz="0" w:space="0" w:color="auto"/>
                                  </w:divBdr>
                                  <w:divsChild>
                                    <w:div w:id="75826882">
                                      <w:marLeft w:val="0"/>
                                      <w:marRight w:val="0"/>
                                      <w:marTop w:val="0"/>
                                      <w:marBottom w:val="0"/>
                                      <w:divBdr>
                                        <w:top w:val="none" w:sz="0" w:space="0" w:color="auto"/>
                                        <w:left w:val="none" w:sz="0" w:space="0" w:color="auto"/>
                                        <w:bottom w:val="none" w:sz="0" w:space="0" w:color="auto"/>
                                        <w:right w:val="none" w:sz="0" w:space="0" w:color="auto"/>
                                      </w:divBdr>
                                      <w:divsChild>
                                        <w:div w:id="178201719">
                                          <w:marLeft w:val="0"/>
                                          <w:marRight w:val="0"/>
                                          <w:marTop w:val="0"/>
                                          <w:marBottom w:val="0"/>
                                          <w:divBdr>
                                            <w:top w:val="none" w:sz="0" w:space="0" w:color="auto"/>
                                            <w:left w:val="none" w:sz="0" w:space="0" w:color="auto"/>
                                            <w:bottom w:val="none" w:sz="0" w:space="0" w:color="auto"/>
                                            <w:right w:val="none" w:sz="0" w:space="0" w:color="auto"/>
                                          </w:divBdr>
                                          <w:divsChild>
                                            <w:div w:id="1020933264">
                                              <w:marLeft w:val="0"/>
                                              <w:marRight w:val="0"/>
                                              <w:marTop w:val="0"/>
                                              <w:marBottom w:val="0"/>
                                              <w:divBdr>
                                                <w:top w:val="none" w:sz="0" w:space="0" w:color="auto"/>
                                                <w:left w:val="none" w:sz="0" w:space="0" w:color="auto"/>
                                                <w:bottom w:val="none" w:sz="0" w:space="0" w:color="auto"/>
                                                <w:right w:val="none" w:sz="0" w:space="0" w:color="auto"/>
                                              </w:divBdr>
                                              <w:divsChild>
                                                <w:div w:id="1415513216">
                                                  <w:marLeft w:val="0"/>
                                                  <w:marRight w:val="0"/>
                                                  <w:marTop w:val="0"/>
                                                  <w:marBottom w:val="0"/>
                                                  <w:divBdr>
                                                    <w:top w:val="none" w:sz="0" w:space="0" w:color="auto"/>
                                                    <w:left w:val="none" w:sz="0" w:space="0" w:color="auto"/>
                                                    <w:bottom w:val="none" w:sz="0" w:space="0" w:color="auto"/>
                                                    <w:right w:val="none" w:sz="0" w:space="0" w:color="auto"/>
                                                  </w:divBdr>
                                                  <w:divsChild>
                                                    <w:div w:id="1579679823">
                                                      <w:marLeft w:val="0"/>
                                                      <w:marRight w:val="0"/>
                                                      <w:marTop w:val="0"/>
                                                      <w:marBottom w:val="0"/>
                                                      <w:divBdr>
                                                        <w:top w:val="single" w:sz="6" w:space="0" w:color="auto"/>
                                                        <w:left w:val="none" w:sz="0" w:space="0" w:color="auto"/>
                                                        <w:bottom w:val="single" w:sz="6" w:space="0" w:color="auto"/>
                                                        <w:right w:val="none" w:sz="0" w:space="0" w:color="auto"/>
                                                      </w:divBdr>
                                                      <w:divsChild>
                                                        <w:div w:id="1208101620">
                                                          <w:marLeft w:val="0"/>
                                                          <w:marRight w:val="0"/>
                                                          <w:marTop w:val="0"/>
                                                          <w:marBottom w:val="0"/>
                                                          <w:divBdr>
                                                            <w:top w:val="none" w:sz="0" w:space="0" w:color="auto"/>
                                                            <w:left w:val="none" w:sz="0" w:space="0" w:color="auto"/>
                                                            <w:bottom w:val="none" w:sz="0" w:space="0" w:color="auto"/>
                                                            <w:right w:val="none" w:sz="0" w:space="0" w:color="auto"/>
                                                          </w:divBdr>
                                                          <w:divsChild>
                                                            <w:div w:id="1823739076">
                                                              <w:marLeft w:val="0"/>
                                                              <w:marRight w:val="0"/>
                                                              <w:marTop w:val="0"/>
                                                              <w:marBottom w:val="0"/>
                                                              <w:divBdr>
                                                                <w:top w:val="none" w:sz="0" w:space="0" w:color="auto"/>
                                                                <w:left w:val="none" w:sz="0" w:space="0" w:color="auto"/>
                                                                <w:bottom w:val="none" w:sz="0" w:space="0" w:color="auto"/>
                                                                <w:right w:val="none" w:sz="0" w:space="0" w:color="auto"/>
                                                              </w:divBdr>
                                                              <w:divsChild>
                                                                <w:div w:id="880900788">
                                                                  <w:marLeft w:val="0"/>
                                                                  <w:marRight w:val="0"/>
                                                                  <w:marTop w:val="0"/>
                                                                  <w:marBottom w:val="0"/>
                                                                  <w:divBdr>
                                                                    <w:top w:val="none" w:sz="0" w:space="0" w:color="auto"/>
                                                                    <w:left w:val="none" w:sz="0" w:space="0" w:color="auto"/>
                                                                    <w:bottom w:val="none" w:sz="0" w:space="0" w:color="auto"/>
                                                                    <w:right w:val="none" w:sz="0" w:space="0" w:color="auto"/>
                                                                  </w:divBdr>
                                                                  <w:divsChild>
                                                                    <w:div w:id="1213931433">
                                                                      <w:marLeft w:val="0"/>
                                                                      <w:marRight w:val="0"/>
                                                                      <w:marTop w:val="0"/>
                                                                      <w:marBottom w:val="0"/>
                                                                      <w:divBdr>
                                                                        <w:top w:val="none" w:sz="0" w:space="0" w:color="auto"/>
                                                                        <w:left w:val="none" w:sz="0" w:space="0" w:color="auto"/>
                                                                        <w:bottom w:val="none" w:sz="0" w:space="0" w:color="auto"/>
                                                                        <w:right w:val="none" w:sz="0" w:space="0" w:color="auto"/>
                                                                      </w:divBdr>
                                                                      <w:divsChild>
                                                                        <w:div w:id="218320466">
                                                                          <w:marLeft w:val="0"/>
                                                                          <w:marRight w:val="0"/>
                                                                          <w:marTop w:val="0"/>
                                                                          <w:marBottom w:val="0"/>
                                                                          <w:divBdr>
                                                                            <w:top w:val="none" w:sz="0" w:space="0" w:color="auto"/>
                                                                            <w:left w:val="none" w:sz="0" w:space="0" w:color="auto"/>
                                                                            <w:bottom w:val="none" w:sz="0" w:space="0" w:color="auto"/>
                                                                            <w:right w:val="none" w:sz="0" w:space="0" w:color="auto"/>
                                                                          </w:divBdr>
                                                                          <w:divsChild>
                                                                            <w:div w:id="605970079">
                                                                              <w:marLeft w:val="0"/>
                                                                              <w:marRight w:val="0"/>
                                                                              <w:marTop w:val="0"/>
                                                                              <w:marBottom w:val="0"/>
                                                                              <w:divBdr>
                                                                                <w:top w:val="none" w:sz="0" w:space="0" w:color="auto"/>
                                                                                <w:left w:val="none" w:sz="0" w:space="0" w:color="auto"/>
                                                                                <w:bottom w:val="none" w:sz="0" w:space="0" w:color="auto"/>
                                                                                <w:right w:val="none" w:sz="0" w:space="0" w:color="auto"/>
                                                                              </w:divBdr>
                                                                              <w:divsChild>
                                                                                <w:div w:id="21001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288538">
      <w:bodyDiv w:val="1"/>
      <w:marLeft w:val="0"/>
      <w:marRight w:val="0"/>
      <w:marTop w:val="0"/>
      <w:marBottom w:val="0"/>
      <w:divBdr>
        <w:top w:val="none" w:sz="0" w:space="0" w:color="auto"/>
        <w:left w:val="none" w:sz="0" w:space="0" w:color="auto"/>
        <w:bottom w:val="none" w:sz="0" w:space="0" w:color="auto"/>
        <w:right w:val="none" w:sz="0" w:space="0" w:color="auto"/>
      </w:divBdr>
    </w:div>
    <w:div w:id="586420846">
      <w:bodyDiv w:val="1"/>
      <w:marLeft w:val="0"/>
      <w:marRight w:val="0"/>
      <w:marTop w:val="0"/>
      <w:marBottom w:val="0"/>
      <w:divBdr>
        <w:top w:val="none" w:sz="0" w:space="0" w:color="auto"/>
        <w:left w:val="none" w:sz="0" w:space="0" w:color="auto"/>
        <w:bottom w:val="none" w:sz="0" w:space="0" w:color="auto"/>
        <w:right w:val="none" w:sz="0" w:space="0" w:color="auto"/>
      </w:divBdr>
    </w:div>
    <w:div w:id="709188215">
      <w:bodyDiv w:val="1"/>
      <w:marLeft w:val="0"/>
      <w:marRight w:val="0"/>
      <w:marTop w:val="0"/>
      <w:marBottom w:val="0"/>
      <w:divBdr>
        <w:top w:val="none" w:sz="0" w:space="0" w:color="auto"/>
        <w:left w:val="none" w:sz="0" w:space="0" w:color="auto"/>
        <w:bottom w:val="none" w:sz="0" w:space="0" w:color="auto"/>
        <w:right w:val="none" w:sz="0" w:space="0" w:color="auto"/>
      </w:divBdr>
    </w:div>
    <w:div w:id="1071151821">
      <w:bodyDiv w:val="1"/>
      <w:marLeft w:val="0"/>
      <w:marRight w:val="0"/>
      <w:marTop w:val="0"/>
      <w:marBottom w:val="0"/>
      <w:divBdr>
        <w:top w:val="none" w:sz="0" w:space="0" w:color="auto"/>
        <w:left w:val="none" w:sz="0" w:space="0" w:color="auto"/>
        <w:bottom w:val="none" w:sz="0" w:space="0" w:color="auto"/>
        <w:right w:val="none" w:sz="0" w:space="0" w:color="auto"/>
      </w:divBdr>
    </w:div>
    <w:div w:id="1126698397">
      <w:bodyDiv w:val="1"/>
      <w:marLeft w:val="0"/>
      <w:marRight w:val="0"/>
      <w:marTop w:val="0"/>
      <w:marBottom w:val="0"/>
      <w:divBdr>
        <w:top w:val="none" w:sz="0" w:space="0" w:color="auto"/>
        <w:left w:val="none" w:sz="0" w:space="0" w:color="auto"/>
        <w:bottom w:val="none" w:sz="0" w:space="0" w:color="auto"/>
        <w:right w:val="none" w:sz="0" w:space="0" w:color="auto"/>
      </w:divBdr>
      <w:divsChild>
        <w:div w:id="1538161477">
          <w:marLeft w:val="0"/>
          <w:marRight w:val="0"/>
          <w:marTop w:val="0"/>
          <w:marBottom w:val="0"/>
          <w:divBdr>
            <w:top w:val="none" w:sz="0" w:space="0" w:color="auto"/>
            <w:left w:val="none" w:sz="0" w:space="0" w:color="auto"/>
            <w:bottom w:val="none" w:sz="0" w:space="0" w:color="auto"/>
            <w:right w:val="none" w:sz="0" w:space="0" w:color="auto"/>
          </w:divBdr>
          <w:divsChild>
            <w:div w:id="1282150176">
              <w:marLeft w:val="0"/>
              <w:marRight w:val="0"/>
              <w:marTop w:val="0"/>
              <w:marBottom w:val="0"/>
              <w:divBdr>
                <w:top w:val="none" w:sz="0" w:space="0" w:color="auto"/>
                <w:left w:val="none" w:sz="0" w:space="0" w:color="auto"/>
                <w:bottom w:val="none" w:sz="0" w:space="0" w:color="auto"/>
                <w:right w:val="none" w:sz="0" w:space="0" w:color="auto"/>
              </w:divBdr>
              <w:divsChild>
                <w:div w:id="638728568">
                  <w:marLeft w:val="0"/>
                  <w:marRight w:val="0"/>
                  <w:marTop w:val="0"/>
                  <w:marBottom w:val="0"/>
                  <w:divBdr>
                    <w:top w:val="none" w:sz="0" w:space="0" w:color="auto"/>
                    <w:left w:val="none" w:sz="0" w:space="0" w:color="auto"/>
                    <w:bottom w:val="none" w:sz="0" w:space="0" w:color="auto"/>
                    <w:right w:val="none" w:sz="0" w:space="0" w:color="auto"/>
                  </w:divBdr>
                  <w:divsChild>
                    <w:div w:id="1892837227">
                      <w:marLeft w:val="0"/>
                      <w:marRight w:val="0"/>
                      <w:marTop w:val="0"/>
                      <w:marBottom w:val="0"/>
                      <w:divBdr>
                        <w:top w:val="none" w:sz="0" w:space="0" w:color="auto"/>
                        <w:left w:val="none" w:sz="0" w:space="0" w:color="auto"/>
                        <w:bottom w:val="none" w:sz="0" w:space="0" w:color="auto"/>
                        <w:right w:val="none" w:sz="0" w:space="0" w:color="auto"/>
                      </w:divBdr>
                      <w:divsChild>
                        <w:div w:id="463695956">
                          <w:marLeft w:val="0"/>
                          <w:marRight w:val="0"/>
                          <w:marTop w:val="0"/>
                          <w:marBottom w:val="0"/>
                          <w:divBdr>
                            <w:top w:val="none" w:sz="0" w:space="0" w:color="auto"/>
                            <w:left w:val="none" w:sz="0" w:space="0" w:color="auto"/>
                            <w:bottom w:val="none" w:sz="0" w:space="0" w:color="auto"/>
                            <w:right w:val="none" w:sz="0" w:space="0" w:color="auto"/>
                          </w:divBdr>
                          <w:divsChild>
                            <w:div w:id="1004631552">
                              <w:marLeft w:val="0"/>
                              <w:marRight w:val="0"/>
                              <w:marTop w:val="0"/>
                              <w:marBottom w:val="0"/>
                              <w:divBdr>
                                <w:top w:val="none" w:sz="0" w:space="0" w:color="auto"/>
                                <w:left w:val="none" w:sz="0" w:space="0" w:color="auto"/>
                                <w:bottom w:val="none" w:sz="0" w:space="0" w:color="auto"/>
                                <w:right w:val="none" w:sz="0" w:space="0" w:color="auto"/>
                              </w:divBdr>
                              <w:divsChild>
                                <w:div w:id="1118522772">
                                  <w:marLeft w:val="0"/>
                                  <w:marRight w:val="0"/>
                                  <w:marTop w:val="0"/>
                                  <w:marBottom w:val="0"/>
                                  <w:divBdr>
                                    <w:top w:val="none" w:sz="0" w:space="0" w:color="auto"/>
                                    <w:left w:val="none" w:sz="0" w:space="0" w:color="auto"/>
                                    <w:bottom w:val="none" w:sz="0" w:space="0" w:color="auto"/>
                                    <w:right w:val="none" w:sz="0" w:space="0" w:color="auto"/>
                                  </w:divBdr>
                                  <w:divsChild>
                                    <w:div w:id="1703944549">
                                      <w:marLeft w:val="0"/>
                                      <w:marRight w:val="0"/>
                                      <w:marTop w:val="0"/>
                                      <w:marBottom w:val="0"/>
                                      <w:divBdr>
                                        <w:top w:val="none" w:sz="0" w:space="0" w:color="auto"/>
                                        <w:left w:val="none" w:sz="0" w:space="0" w:color="auto"/>
                                        <w:bottom w:val="none" w:sz="0" w:space="0" w:color="auto"/>
                                        <w:right w:val="none" w:sz="0" w:space="0" w:color="auto"/>
                                      </w:divBdr>
                                      <w:divsChild>
                                        <w:div w:id="1506558286">
                                          <w:marLeft w:val="0"/>
                                          <w:marRight w:val="0"/>
                                          <w:marTop w:val="0"/>
                                          <w:marBottom w:val="0"/>
                                          <w:divBdr>
                                            <w:top w:val="none" w:sz="0" w:space="0" w:color="auto"/>
                                            <w:left w:val="none" w:sz="0" w:space="0" w:color="auto"/>
                                            <w:bottom w:val="none" w:sz="0" w:space="0" w:color="auto"/>
                                            <w:right w:val="none" w:sz="0" w:space="0" w:color="auto"/>
                                          </w:divBdr>
                                          <w:divsChild>
                                            <w:div w:id="1036321134">
                                              <w:marLeft w:val="0"/>
                                              <w:marRight w:val="0"/>
                                              <w:marTop w:val="0"/>
                                              <w:marBottom w:val="0"/>
                                              <w:divBdr>
                                                <w:top w:val="none" w:sz="0" w:space="0" w:color="auto"/>
                                                <w:left w:val="none" w:sz="0" w:space="0" w:color="auto"/>
                                                <w:bottom w:val="none" w:sz="0" w:space="0" w:color="auto"/>
                                                <w:right w:val="none" w:sz="0" w:space="0" w:color="auto"/>
                                              </w:divBdr>
                                              <w:divsChild>
                                                <w:div w:id="1728720050">
                                                  <w:marLeft w:val="0"/>
                                                  <w:marRight w:val="0"/>
                                                  <w:marTop w:val="0"/>
                                                  <w:marBottom w:val="0"/>
                                                  <w:divBdr>
                                                    <w:top w:val="none" w:sz="0" w:space="0" w:color="auto"/>
                                                    <w:left w:val="none" w:sz="0" w:space="0" w:color="auto"/>
                                                    <w:bottom w:val="none" w:sz="0" w:space="0" w:color="auto"/>
                                                    <w:right w:val="none" w:sz="0" w:space="0" w:color="auto"/>
                                                  </w:divBdr>
                                                  <w:divsChild>
                                                    <w:div w:id="749929071">
                                                      <w:marLeft w:val="0"/>
                                                      <w:marRight w:val="0"/>
                                                      <w:marTop w:val="0"/>
                                                      <w:marBottom w:val="0"/>
                                                      <w:divBdr>
                                                        <w:top w:val="single" w:sz="6" w:space="0" w:color="auto"/>
                                                        <w:left w:val="none" w:sz="0" w:space="0" w:color="auto"/>
                                                        <w:bottom w:val="single" w:sz="6" w:space="0" w:color="auto"/>
                                                        <w:right w:val="none" w:sz="0" w:space="0" w:color="auto"/>
                                                      </w:divBdr>
                                                      <w:divsChild>
                                                        <w:div w:id="853501069">
                                                          <w:marLeft w:val="0"/>
                                                          <w:marRight w:val="0"/>
                                                          <w:marTop w:val="0"/>
                                                          <w:marBottom w:val="0"/>
                                                          <w:divBdr>
                                                            <w:top w:val="none" w:sz="0" w:space="0" w:color="auto"/>
                                                            <w:left w:val="none" w:sz="0" w:space="0" w:color="auto"/>
                                                            <w:bottom w:val="none" w:sz="0" w:space="0" w:color="auto"/>
                                                            <w:right w:val="none" w:sz="0" w:space="0" w:color="auto"/>
                                                          </w:divBdr>
                                                          <w:divsChild>
                                                            <w:div w:id="548496145">
                                                              <w:marLeft w:val="0"/>
                                                              <w:marRight w:val="0"/>
                                                              <w:marTop w:val="0"/>
                                                              <w:marBottom w:val="0"/>
                                                              <w:divBdr>
                                                                <w:top w:val="none" w:sz="0" w:space="0" w:color="auto"/>
                                                                <w:left w:val="none" w:sz="0" w:space="0" w:color="auto"/>
                                                                <w:bottom w:val="none" w:sz="0" w:space="0" w:color="auto"/>
                                                                <w:right w:val="none" w:sz="0" w:space="0" w:color="auto"/>
                                                              </w:divBdr>
                                                              <w:divsChild>
                                                                <w:div w:id="134612610">
                                                                  <w:marLeft w:val="0"/>
                                                                  <w:marRight w:val="0"/>
                                                                  <w:marTop w:val="0"/>
                                                                  <w:marBottom w:val="0"/>
                                                                  <w:divBdr>
                                                                    <w:top w:val="none" w:sz="0" w:space="0" w:color="auto"/>
                                                                    <w:left w:val="none" w:sz="0" w:space="0" w:color="auto"/>
                                                                    <w:bottom w:val="none" w:sz="0" w:space="0" w:color="auto"/>
                                                                    <w:right w:val="none" w:sz="0" w:space="0" w:color="auto"/>
                                                                  </w:divBdr>
                                                                  <w:divsChild>
                                                                    <w:div w:id="1520387270">
                                                                      <w:marLeft w:val="0"/>
                                                                      <w:marRight w:val="0"/>
                                                                      <w:marTop w:val="0"/>
                                                                      <w:marBottom w:val="0"/>
                                                                      <w:divBdr>
                                                                        <w:top w:val="none" w:sz="0" w:space="0" w:color="auto"/>
                                                                        <w:left w:val="none" w:sz="0" w:space="0" w:color="auto"/>
                                                                        <w:bottom w:val="none" w:sz="0" w:space="0" w:color="auto"/>
                                                                        <w:right w:val="none" w:sz="0" w:space="0" w:color="auto"/>
                                                                      </w:divBdr>
                                                                      <w:divsChild>
                                                                        <w:div w:id="690836194">
                                                                          <w:marLeft w:val="0"/>
                                                                          <w:marRight w:val="0"/>
                                                                          <w:marTop w:val="0"/>
                                                                          <w:marBottom w:val="0"/>
                                                                          <w:divBdr>
                                                                            <w:top w:val="none" w:sz="0" w:space="0" w:color="auto"/>
                                                                            <w:left w:val="none" w:sz="0" w:space="0" w:color="auto"/>
                                                                            <w:bottom w:val="none" w:sz="0" w:space="0" w:color="auto"/>
                                                                            <w:right w:val="none" w:sz="0" w:space="0" w:color="auto"/>
                                                                          </w:divBdr>
                                                                          <w:divsChild>
                                                                            <w:div w:id="1378581030">
                                                                              <w:marLeft w:val="0"/>
                                                                              <w:marRight w:val="0"/>
                                                                              <w:marTop w:val="0"/>
                                                                              <w:marBottom w:val="0"/>
                                                                              <w:divBdr>
                                                                                <w:top w:val="none" w:sz="0" w:space="0" w:color="auto"/>
                                                                                <w:left w:val="none" w:sz="0" w:space="0" w:color="auto"/>
                                                                                <w:bottom w:val="none" w:sz="0" w:space="0" w:color="auto"/>
                                                                                <w:right w:val="none" w:sz="0" w:space="0" w:color="auto"/>
                                                                              </w:divBdr>
                                                                              <w:divsChild>
                                                                                <w:div w:id="1907759121">
                                                                                  <w:marLeft w:val="0"/>
                                                                                  <w:marRight w:val="0"/>
                                                                                  <w:marTop w:val="0"/>
                                                                                  <w:marBottom w:val="0"/>
                                                                                  <w:divBdr>
                                                                                    <w:top w:val="none" w:sz="0" w:space="0" w:color="auto"/>
                                                                                    <w:left w:val="none" w:sz="0" w:space="0" w:color="auto"/>
                                                                                    <w:bottom w:val="none" w:sz="0" w:space="0" w:color="auto"/>
                                                                                    <w:right w:val="none" w:sz="0" w:space="0" w:color="auto"/>
                                                                                  </w:divBdr>
                                                                                  <w:divsChild>
                                                                                    <w:div w:id="1176766108">
                                                                                      <w:marLeft w:val="0"/>
                                                                                      <w:marRight w:val="0"/>
                                                                                      <w:marTop w:val="0"/>
                                                                                      <w:marBottom w:val="0"/>
                                                                                      <w:divBdr>
                                                                                        <w:top w:val="none" w:sz="0" w:space="0" w:color="auto"/>
                                                                                        <w:left w:val="none" w:sz="0" w:space="0" w:color="auto"/>
                                                                                        <w:bottom w:val="none" w:sz="0" w:space="0" w:color="auto"/>
                                                                                        <w:right w:val="none" w:sz="0" w:space="0" w:color="auto"/>
                                                                                      </w:divBdr>
                                                                                    </w:div>
                                                                                    <w:div w:id="6923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121863">
      <w:bodyDiv w:val="1"/>
      <w:marLeft w:val="0"/>
      <w:marRight w:val="0"/>
      <w:marTop w:val="0"/>
      <w:marBottom w:val="0"/>
      <w:divBdr>
        <w:top w:val="none" w:sz="0" w:space="0" w:color="auto"/>
        <w:left w:val="none" w:sz="0" w:space="0" w:color="auto"/>
        <w:bottom w:val="none" w:sz="0" w:space="0" w:color="auto"/>
        <w:right w:val="none" w:sz="0" w:space="0" w:color="auto"/>
      </w:divBdr>
    </w:div>
    <w:div w:id="1250237430">
      <w:bodyDiv w:val="1"/>
      <w:marLeft w:val="0"/>
      <w:marRight w:val="0"/>
      <w:marTop w:val="0"/>
      <w:marBottom w:val="0"/>
      <w:divBdr>
        <w:top w:val="none" w:sz="0" w:space="0" w:color="auto"/>
        <w:left w:val="none" w:sz="0" w:space="0" w:color="auto"/>
        <w:bottom w:val="none" w:sz="0" w:space="0" w:color="auto"/>
        <w:right w:val="none" w:sz="0" w:space="0" w:color="auto"/>
      </w:divBdr>
      <w:divsChild>
        <w:div w:id="1255556386">
          <w:marLeft w:val="0"/>
          <w:marRight w:val="0"/>
          <w:marTop w:val="0"/>
          <w:marBottom w:val="0"/>
          <w:divBdr>
            <w:top w:val="none" w:sz="0" w:space="0" w:color="auto"/>
            <w:left w:val="none" w:sz="0" w:space="0" w:color="auto"/>
            <w:bottom w:val="none" w:sz="0" w:space="0" w:color="auto"/>
            <w:right w:val="none" w:sz="0" w:space="0" w:color="auto"/>
          </w:divBdr>
          <w:divsChild>
            <w:div w:id="577982398">
              <w:marLeft w:val="0"/>
              <w:marRight w:val="0"/>
              <w:marTop w:val="0"/>
              <w:marBottom w:val="0"/>
              <w:divBdr>
                <w:top w:val="none" w:sz="0" w:space="0" w:color="auto"/>
                <w:left w:val="none" w:sz="0" w:space="0" w:color="auto"/>
                <w:bottom w:val="none" w:sz="0" w:space="0" w:color="auto"/>
                <w:right w:val="none" w:sz="0" w:space="0" w:color="auto"/>
              </w:divBdr>
              <w:divsChild>
                <w:div w:id="576793013">
                  <w:marLeft w:val="0"/>
                  <w:marRight w:val="0"/>
                  <w:marTop w:val="0"/>
                  <w:marBottom w:val="0"/>
                  <w:divBdr>
                    <w:top w:val="none" w:sz="0" w:space="0" w:color="auto"/>
                    <w:left w:val="none" w:sz="0" w:space="0" w:color="auto"/>
                    <w:bottom w:val="none" w:sz="0" w:space="0" w:color="auto"/>
                    <w:right w:val="none" w:sz="0" w:space="0" w:color="auto"/>
                  </w:divBdr>
                  <w:divsChild>
                    <w:div w:id="372584856">
                      <w:marLeft w:val="0"/>
                      <w:marRight w:val="0"/>
                      <w:marTop w:val="0"/>
                      <w:marBottom w:val="0"/>
                      <w:divBdr>
                        <w:top w:val="none" w:sz="0" w:space="0" w:color="auto"/>
                        <w:left w:val="none" w:sz="0" w:space="0" w:color="auto"/>
                        <w:bottom w:val="none" w:sz="0" w:space="0" w:color="auto"/>
                        <w:right w:val="none" w:sz="0" w:space="0" w:color="auto"/>
                      </w:divBdr>
                      <w:divsChild>
                        <w:div w:id="1757746822">
                          <w:marLeft w:val="0"/>
                          <w:marRight w:val="0"/>
                          <w:marTop w:val="0"/>
                          <w:marBottom w:val="0"/>
                          <w:divBdr>
                            <w:top w:val="none" w:sz="0" w:space="0" w:color="auto"/>
                            <w:left w:val="none" w:sz="0" w:space="0" w:color="auto"/>
                            <w:bottom w:val="none" w:sz="0" w:space="0" w:color="auto"/>
                            <w:right w:val="none" w:sz="0" w:space="0" w:color="auto"/>
                          </w:divBdr>
                          <w:divsChild>
                            <w:div w:id="667830934">
                              <w:marLeft w:val="0"/>
                              <w:marRight w:val="0"/>
                              <w:marTop w:val="0"/>
                              <w:marBottom w:val="0"/>
                              <w:divBdr>
                                <w:top w:val="none" w:sz="0" w:space="0" w:color="auto"/>
                                <w:left w:val="none" w:sz="0" w:space="0" w:color="auto"/>
                                <w:bottom w:val="none" w:sz="0" w:space="0" w:color="auto"/>
                                <w:right w:val="none" w:sz="0" w:space="0" w:color="auto"/>
                              </w:divBdr>
                              <w:divsChild>
                                <w:div w:id="1360818435">
                                  <w:marLeft w:val="0"/>
                                  <w:marRight w:val="0"/>
                                  <w:marTop w:val="0"/>
                                  <w:marBottom w:val="0"/>
                                  <w:divBdr>
                                    <w:top w:val="none" w:sz="0" w:space="0" w:color="auto"/>
                                    <w:left w:val="none" w:sz="0" w:space="0" w:color="auto"/>
                                    <w:bottom w:val="none" w:sz="0" w:space="0" w:color="auto"/>
                                    <w:right w:val="none" w:sz="0" w:space="0" w:color="auto"/>
                                  </w:divBdr>
                                  <w:divsChild>
                                    <w:div w:id="1034112398">
                                      <w:marLeft w:val="0"/>
                                      <w:marRight w:val="0"/>
                                      <w:marTop w:val="0"/>
                                      <w:marBottom w:val="0"/>
                                      <w:divBdr>
                                        <w:top w:val="none" w:sz="0" w:space="0" w:color="auto"/>
                                        <w:left w:val="none" w:sz="0" w:space="0" w:color="auto"/>
                                        <w:bottom w:val="none" w:sz="0" w:space="0" w:color="auto"/>
                                        <w:right w:val="none" w:sz="0" w:space="0" w:color="auto"/>
                                      </w:divBdr>
                                      <w:divsChild>
                                        <w:div w:id="1425691085">
                                          <w:marLeft w:val="0"/>
                                          <w:marRight w:val="0"/>
                                          <w:marTop w:val="0"/>
                                          <w:marBottom w:val="0"/>
                                          <w:divBdr>
                                            <w:top w:val="none" w:sz="0" w:space="0" w:color="auto"/>
                                            <w:left w:val="none" w:sz="0" w:space="0" w:color="auto"/>
                                            <w:bottom w:val="none" w:sz="0" w:space="0" w:color="auto"/>
                                            <w:right w:val="none" w:sz="0" w:space="0" w:color="auto"/>
                                          </w:divBdr>
                                          <w:divsChild>
                                            <w:div w:id="1592394444">
                                              <w:marLeft w:val="0"/>
                                              <w:marRight w:val="0"/>
                                              <w:marTop w:val="0"/>
                                              <w:marBottom w:val="0"/>
                                              <w:divBdr>
                                                <w:top w:val="none" w:sz="0" w:space="0" w:color="auto"/>
                                                <w:left w:val="none" w:sz="0" w:space="0" w:color="auto"/>
                                                <w:bottom w:val="none" w:sz="0" w:space="0" w:color="auto"/>
                                                <w:right w:val="none" w:sz="0" w:space="0" w:color="auto"/>
                                              </w:divBdr>
                                              <w:divsChild>
                                                <w:div w:id="990645011">
                                                  <w:marLeft w:val="0"/>
                                                  <w:marRight w:val="0"/>
                                                  <w:marTop w:val="0"/>
                                                  <w:marBottom w:val="0"/>
                                                  <w:divBdr>
                                                    <w:top w:val="none" w:sz="0" w:space="0" w:color="auto"/>
                                                    <w:left w:val="none" w:sz="0" w:space="0" w:color="auto"/>
                                                    <w:bottom w:val="none" w:sz="0" w:space="0" w:color="auto"/>
                                                    <w:right w:val="none" w:sz="0" w:space="0" w:color="auto"/>
                                                  </w:divBdr>
                                                  <w:divsChild>
                                                    <w:div w:id="541668814">
                                                      <w:marLeft w:val="0"/>
                                                      <w:marRight w:val="0"/>
                                                      <w:marTop w:val="0"/>
                                                      <w:marBottom w:val="0"/>
                                                      <w:divBdr>
                                                        <w:top w:val="single" w:sz="6" w:space="0" w:color="auto"/>
                                                        <w:left w:val="none" w:sz="0" w:space="0" w:color="auto"/>
                                                        <w:bottom w:val="single" w:sz="6" w:space="0" w:color="auto"/>
                                                        <w:right w:val="none" w:sz="0" w:space="0" w:color="auto"/>
                                                      </w:divBdr>
                                                      <w:divsChild>
                                                        <w:div w:id="214390951">
                                                          <w:marLeft w:val="0"/>
                                                          <w:marRight w:val="0"/>
                                                          <w:marTop w:val="0"/>
                                                          <w:marBottom w:val="0"/>
                                                          <w:divBdr>
                                                            <w:top w:val="none" w:sz="0" w:space="0" w:color="auto"/>
                                                            <w:left w:val="none" w:sz="0" w:space="0" w:color="auto"/>
                                                            <w:bottom w:val="none" w:sz="0" w:space="0" w:color="auto"/>
                                                            <w:right w:val="none" w:sz="0" w:space="0" w:color="auto"/>
                                                          </w:divBdr>
                                                          <w:divsChild>
                                                            <w:div w:id="1999259286">
                                                              <w:marLeft w:val="0"/>
                                                              <w:marRight w:val="0"/>
                                                              <w:marTop w:val="0"/>
                                                              <w:marBottom w:val="0"/>
                                                              <w:divBdr>
                                                                <w:top w:val="none" w:sz="0" w:space="0" w:color="auto"/>
                                                                <w:left w:val="none" w:sz="0" w:space="0" w:color="auto"/>
                                                                <w:bottom w:val="none" w:sz="0" w:space="0" w:color="auto"/>
                                                                <w:right w:val="none" w:sz="0" w:space="0" w:color="auto"/>
                                                              </w:divBdr>
                                                              <w:divsChild>
                                                                <w:div w:id="906302528">
                                                                  <w:marLeft w:val="0"/>
                                                                  <w:marRight w:val="0"/>
                                                                  <w:marTop w:val="0"/>
                                                                  <w:marBottom w:val="0"/>
                                                                  <w:divBdr>
                                                                    <w:top w:val="none" w:sz="0" w:space="0" w:color="auto"/>
                                                                    <w:left w:val="none" w:sz="0" w:space="0" w:color="auto"/>
                                                                    <w:bottom w:val="none" w:sz="0" w:space="0" w:color="auto"/>
                                                                    <w:right w:val="none" w:sz="0" w:space="0" w:color="auto"/>
                                                                  </w:divBdr>
                                                                  <w:divsChild>
                                                                    <w:div w:id="1022517923">
                                                                      <w:marLeft w:val="0"/>
                                                                      <w:marRight w:val="0"/>
                                                                      <w:marTop w:val="0"/>
                                                                      <w:marBottom w:val="0"/>
                                                                      <w:divBdr>
                                                                        <w:top w:val="none" w:sz="0" w:space="0" w:color="auto"/>
                                                                        <w:left w:val="none" w:sz="0" w:space="0" w:color="auto"/>
                                                                        <w:bottom w:val="none" w:sz="0" w:space="0" w:color="auto"/>
                                                                        <w:right w:val="none" w:sz="0" w:space="0" w:color="auto"/>
                                                                      </w:divBdr>
                                                                      <w:divsChild>
                                                                        <w:div w:id="1267350377">
                                                                          <w:marLeft w:val="-75"/>
                                                                          <w:marRight w:val="0"/>
                                                                          <w:marTop w:val="30"/>
                                                                          <w:marBottom w:val="30"/>
                                                                          <w:divBdr>
                                                                            <w:top w:val="none" w:sz="0" w:space="0" w:color="auto"/>
                                                                            <w:left w:val="none" w:sz="0" w:space="0" w:color="auto"/>
                                                                            <w:bottom w:val="none" w:sz="0" w:space="0" w:color="auto"/>
                                                                            <w:right w:val="none" w:sz="0" w:space="0" w:color="auto"/>
                                                                          </w:divBdr>
                                                                          <w:divsChild>
                                                                            <w:div w:id="1478262435">
                                                                              <w:marLeft w:val="0"/>
                                                                              <w:marRight w:val="0"/>
                                                                              <w:marTop w:val="0"/>
                                                                              <w:marBottom w:val="0"/>
                                                                              <w:divBdr>
                                                                                <w:top w:val="none" w:sz="0" w:space="0" w:color="auto"/>
                                                                                <w:left w:val="none" w:sz="0" w:space="0" w:color="auto"/>
                                                                                <w:bottom w:val="none" w:sz="0" w:space="0" w:color="auto"/>
                                                                                <w:right w:val="none" w:sz="0" w:space="0" w:color="auto"/>
                                                                              </w:divBdr>
                                                                              <w:divsChild>
                                                                                <w:div w:id="913129292">
                                                                                  <w:marLeft w:val="0"/>
                                                                                  <w:marRight w:val="0"/>
                                                                                  <w:marTop w:val="0"/>
                                                                                  <w:marBottom w:val="0"/>
                                                                                  <w:divBdr>
                                                                                    <w:top w:val="none" w:sz="0" w:space="0" w:color="auto"/>
                                                                                    <w:left w:val="none" w:sz="0" w:space="0" w:color="auto"/>
                                                                                    <w:bottom w:val="none" w:sz="0" w:space="0" w:color="auto"/>
                                                                                    <w:right w:val="none" w:sz="0" w:space="0" w:color="auto"/>
                                                                                  </w:divBdr>
                                                                                  <w:divsChild>
                                                                                    <w:div w:id="809637667">
                                                                                      <w:marLeft w:val="0"/>
                                                                                      <w:marRight w:val="0"/>
                                                                                      <w:marTop w:val="0"/>
                                                                                      <w:marBottom w:val="0"/>
                                                                                      <w:divBdr>
                                                                                        <w:top w:val="none" w:sz="0" w:space="0" w:color="auto"/>
                                                                                        <w:left w:val="none" w:sz="0" w:space="0" w:color="auto"/>
                                                                                        <w:bottom w:val="none" w:sz="0" w:space="0" w:color="auto"/>
                                                                                        <w:right w:val="none" w:sz="0" w:space="0" w:color="auto"/>
                                                                                      </w:divBdr>
                                                                                      <w:divsChild>
                                                                                        <w:div w:id="1659385828">
                                                                                          <w:marLeft w:val="0"/>
                                                                                          <w:marRight w:val="0"/>
                                                                                          <w:marTop w:val="0"/>
                                                                                          <w:marBottom w:val="0"/>
                                                                                          <w:divBdr>
                                                                                            <w:top w:val="none" w:sz="0" w:space="0" w:color="auto"/>
                                                                                            <w:left w:val="none" w:sz="0" w:space="0" w:color="auto"/>
                                                                                            <w:bottom w:val="none" w:sz="0" w:space="0" w:color="auto"/>
                                                                                            <w:right w:val="none" w:sz="0" w:space="0" w:color="auto"/>
                                                                                          </w:divBdr>
                                                                                          <w:divsChild>
                                                                                            <w:div w:id="1448811598">
                                                                                              <w:marLeft w:val="0"/>
                                                                                              <w:marRight w:val="0"/>
                                                                                              <w:marTop w:val="0"/>
                                                                                              <w:marBottom w:val="0"/>
                                                                                              <w:divBdr>
                                                                                                <w:top w:val="none" w:sz="0" w:space="0" w:color="auto"/>
                                                                                                <w:left w:val="none" w:sz="0" w:space="0" w:color="auto"/>
                                                                                                <w:bottom w:val="none" w:sz="0" w:space="0" w:color="auto"/>
                                                                                                <w:right w:val="none" w:sz="0" w:space="0" w:color="auto"/>
                                                                                              </w:divBdr>
                                                                                              <w:divsChild>
                                                                                                <w:div w:id="38749618">
                                                                                                  <w:marLeft w:val="0"/>
                                                                                                  <w:marRight w:val="0"/>
                                                                                                  <w:marTop w:val="30"/>
                                                                                                  <w:marBottom w:val="30"/>
                                                                                                  <w:divBdr>
                                                                                                    <w:top w:val="none" w:sz="0" w:space="0" w:color="auto"/>
                                                                                                    <w:left w:val="none" w:sz="0" w:space="0" w:color="auto"/>
                                                                                                    <w:bottom w:val="none" w:sz="0" w:space="0" w:color="auto"/>
                                                                                                    <w:right w:val="none" w:sz="0" w:space="0" w:color="auto"/>
                                                                                                  </w:divBdr>
                                                                                                  <w:divsChild>
                                                                                                    <w:div w:id="1399982738">
                                                                                                      <w:marLeft w:val="0"/>
                                                                                                      <w:marRight w:val="0"/>
                                                                                                      <w:marTop w:val="0"/>
                                                                                                      <w:marBottom w:val="0"/>
                                                                                                      <w:divBdr>
                                                                                                        <w:top w:val="none" w:sz="0" w:space="0" w:color="auto"/>
                                                                                                        <w:left w:val="none" w:sz="0" w:space="0" w:color="auto"/>
                                                                                                        <w:bottom w:val="none" w:sz="0" w:space="0" w:color="auto"/>
                                                                                                        <w:right w:val="none" w:sz="0" w:space="0" w:color="auto"/>
                                                                                                      </w:divBdr>
                                                                                                      <w:divsChild>
                                                                                                        <w:div w:id="296643036">
                                                                                                          <w:marLeft w:val="0"/>
                                                                                                          <w:marRight w:val="0"/>
                                                                                                          <w:marTop w:val="0"/>
                                                                                                          <w:marBottom w:val="0"/>
                                                                                                          <w:divBdr>
                                                                                                            <w:top w:val="none" w:sz="0" w:space="0" w:color="auto"/>
                                                                                                            <w:left w:val="none" w:sz="0" w:space="0" w:color="auto"/>
                                                                                                            <w:bottom w:val="none" w:sz="0" w:space="0" w:color="auto"/>
                                                                                                            <w:right w:val="none" w:sz="0" w:space="0" w:color="auto"/>
                                                                                                          </w:divBdr>
                                                                                                        </w:div>
                                                                                                      </w:divsChild>
                                                                                                    </w:div>
                                                                                                    <w:div w:id="832797107">
                                                                                                      <w:marLeft w:val="0"/>
                                                                                                      <w:marRight w:val="0"/>
                                                                                                      <w:marTop w:val="0"/>
                                                                                                      <w:marBottom w:val="0"/>
                                                                                                      <w:divBdr>
                                                                                                        <w:top w:val="none" w:sz="0" w:space="0" w:color="auto"/>
                                                                                                        <w:left w:val="none" w:sz="0" w:space="0" w:color="auto"/>
                                                                                                        <w:bottom w:val="none" w:sz="0" w:space="0" w:color="auto"/>
                                                                                                        <w:right w:val="none" w:sz="0" w:space="0" w:color="auto"/>
                                                                                                      </w:divBdr>
                                                                                                      <w:divsChild>
                                                                                                        <w:div w:id="513500979">
                                                                                                          <w:marLeft w:val="0"/>
                                                                                                          <w:marRight w:val="0"/>
                                                                                                          <w:marTop w:val="0"/>
                                                                                                          <w:marBottom w:val="0"/>
                                                                                                          <w:divBdr>
                                                                                                            <w:top w:val="none" w:sz="0" w:space="0" w:color="auto"/>
                                                                                                            <w:left w:val="none" w:sz="0" w:space="0" w:color="auto"/>
                                                                                                            <w:bottom w:val="none" w:sz="0" w:space="0" w:color="auto"/>
                                                                                                            <w:right w:val="none" w:sz="0" w:space="0" w:color="auto"/>
                                                                                                          </w:divBdr>
                                                                                                        </w:div>
                                                                                                      </w:divsChild>
                                                                                                    </w:div>
                                                                                                    <w:div w:id="390349648">
                                                                                                      <w:marLeft w:val="0"/>
                                                                                                      <w:marRight w:val="0"/>
                                                                                                      <w:marTop w:val="0"/>
                                                                                                      <w:marBottom w:val="0"/>
                                                                                                      <w:divBdr>
                                                                                                        <w:top w:val="none" w:sz="0" w:space="0" w:color="auto"/>
                                                                                                        <w:left w:val="none" w:sz="0" w:space="0" w:color="auto"/>
                                                                                                        <w:bottom w:val="none" w:sz="0" w:space="0" w:color="auto"/>
                                                                                                        <w:right w:val="none" w:sz="0" w:space="0" w:color="auto"/>
                                                                                                      </w:divBdr>
                                                                                                      <w:divsChild>
                                                                                                        <w:div w:id="1807117051">
                                                                                                          <w:marLeft w:val="0"/>
                                                                                                          <w:marRight w:val="0"/>
                                                                                                          <w:marTop w:val="0"/>
                                                                                                          <w:marBottom w:val="0"/>
                                                                                                          <w:divBdr>
                                                                                                            <w:top w:val="none" w:sz="0" w:space="0" w:color="auto"/>
                                                                                                            <w:left w:val="none" w:sz="0" w:space="0" w:color="auto"/>
                                                                                                            <w:bottom w:val="none" w:sz="0" w:space="0" w:color="auto"/>
                                                                                                            <w:right w:val="none" w:sz="0" w:space="0" w:color="auto"/>
                                                                                                          </w:divBdr>
                                                                                                        </w:div>
                                                                                                        <w:div w:id="1049105937">
                                                                                                          <w:marLeft w:val="0"/>
                                                                                                          <w:marRight w:val="0"/>
                                                                                                          <w:marTop w:val="0"/>
                                                                                                          <w:marBottom w:val="0"/>
                                                                                                          <w:divBdr>
                                                                                                            <w:top w:val="none" w:sz="0" w:space="0" w:color="auto"/>
                                                                                                            <w:left w:val="none" w:sz="0" w:space="0" w:color="auto"/>
                                                                                                            <w:bottom w:val="none" w:sz="0" w:space="0" w:color="auto"/>
                                                                                                            <w:right w:val="none" w:sz="0" w:space="0" w:color="auto"/>
                                                                                                          </w:divBdr>
                                                                                                        </w:div>
                                                                                                      </w:divsChild>
                                                                                                    </w:div>
                                                                                                    <w:div w:id="1645351904">
                                                                                                      <w:marLeft w:val="0"/>
                                                                                                      <w:marRight w:val="0"/>
                                                                                                      <w:marTop w:val="0"/>
                                                                                                      <w:marBottom w:val="0"/>
                                                                                                      <w:divBdr>
                                                                                                        <w:top w:val="none" w:sz="0" w:space="0" w:color="auto"/>
                                                                                                        <w:left w:val="none" w:sz="0" w:space="0" w:color="auto"/>
                                                                                                        <w:bottom w:val="none" w:sz="0" w:space="0" w:color="auto"/>
                                                                                                        <w:right w:val="none" w:sz="0" w:space="0" w:color="auto"/>
                                                                                                      </w:divBdr>
                                                                                                      <w:divsChild>
                                                                                                        <w:div w:id="1645503040">
                                                                                                          <w:marLeft w:val="0"/>
                                                                                                          <w:marRight w:val="0"/>
                                                                                                          <w:marTop w:val="0"/>
                                                                                                          <w:marBottom w:val="0"/>
                                                                                                          <w:divBdr>
                                                                                                            <w:top w:val="none" w:sz="0" w:space="0" w:color="auto"/>
                                                                                                            <w:left w:val="none" w:sz="0" w:space="0" w:color="auto"/>
                                                                                                            <w:bottom w:val="none" w:sz="0" w:space="0" w:color="auto"/>
                                                                                                            <w:right w:val="none" w:sz="0" w:space="0" w:color="auto"/>
                                                                                                          </w:divBdr>
                                                                                                        </w:div>
                                                                                                      </w:divsChild>
                                                                                                    </w:div>
                                                                                                    <w:div w:id="1727485758">
                                                                                                      <w:marLeft w:val="0"/>
                                                                                                      <w:marRight w:val="0"/>
                                                                                                      <w:marTop w:val="0"/>
                                                                                                      <w:marBottom w:val="0"/>
                                                                                                      <w:divBdr>
                                                                                                        <w:top w:val="none" w:sz="0" w:space="0" w:color="auto"/>
                                                                                                        <w:left w:val="none" w:sz="0" w:space="0" w:color="auto"/>
                                                                                                        <w:bottom w:val="none" w:sz="0" w:space="0" w:color="auto"/>
                                                                                                        <w:right w:val="none" w:sz="0" w:space="0" w:color="auto"/>
                                                                                                      </w:divBdr>
                                                                                                      <w:divsChild>
                                                                                                        <w:div w:id="180168818">
                                                                                                          <w:marLeft w:val="0"/>
                                                                                                          <w:marRight w:val="0"/>
                                                                                                          <w:marTop w:val="0"/>
                                                                                                          <w:marBottom w:val="0"/>
                                                                                                          <w:divBdr>
                                                                                                            <w:top w:val="none" w:sz="0" w:space="0" w:color="auto"/>
                                                                                                            <w:left w:val="none" w:sz="0" w:space="0" w:color="auto"/>
                                                                                                            <w:bottom w:val="none" w:sz="0" w:space="0" w:color="auto"/>
                                                                                                            <w:right w:val="none" w:sz="0" w:space="0" w:color="auto"/>
                                                                                                          </w:divBdr>
                                                                                                        </w:div>
                                                                                                        <w:div w:id="939988933">
                                                                                                          <w:marLeft w:val="0"/>
                                                                                                          <w:marRight w:val="0"/>
                                                                                                          <w:marTop w:val="0"/>
                                                                                                          <w:marBottom w:val="0"/>
                                                                                                          <w:divBdr>
                                                                                                            <w:top w:val="none" w:sz="0" w:space="0" w:color="auto"/>
                                                                                                            <w:left w:val="none" w:sz="0" w:space="0" w:color="auto"/>
                                                                                                            <w:bottom w:val="none" w:sz="0" w:space="0" w:color="auto"/>
                                                                                                            <w:right w:val="none" w:sz="0" w:space="0" w:color="auto"/>
                                                                                                          </w:divBdr>
                                                                                                        </w:div>
                                                                                                      </w:divsChild>
                                                                                                    </w:div>
                                                                                                    <w:div w:id="1085300813">
                                                                                                      <w:marLeft w:val="0"/>
                                                                                                      <w:marRight w:val="0"/>
                                                                                                      <w:marTop w:val="0"/>
                                                                                                      <w:marBottom w:val="0"/>
                                                                                                      <w:divBdr>
                                                                                                        <w:top w:val="none" w:sz="0" w:space="0" w:color="auto"/>
                                                                                                        <w:left w:val="none" w:sz="0" w:space="0" w:color="auto"/>
                                                                                                        <w:bottom w:val="none" w:sz="0" w:space="0" w:color="auto"/>
                                                                                                        <w:right w:val="none" w:sz="0" w:space="0" w:color="auto"/>
                                                                                                      </w:divBdr>
                                                                                                      <w:divsChild>
                                                                                                        <w:div w:id="276527488">
                                                                                                          <w:marLeft w:val="0"/>
                                                                                                          <w:marRight w:val="0"/>
                                                                                                          <w:marTop w:val="0"/>
                                                                                                          <w:marBottom w:val="0"/>
                                                                                                          <w:divBdr>
                                                                                                            <w:top w:val="none" w:sz="0" w:space="0" w:color="auto"/>
                                                                                                            <w:left w:val="none" w:sz="0" w:space="0" w:color="auto"/>
                                                                                                            <w:bottom w:val="none" w:sz="0" w:space="0" w:color="auto"/>
                                                                                                            <w:right w:val="none" w:sz="0" w:space="0" w:color="auto"/>
                                                                                                          </w:divBdr>
                                                                                                        </w:div>
                                                                                                      </w:divsChild>
                                                                                                    </w:div>
                                                                                                    <w:div w:id="2033454036">
                                                                                                      <w:marLeft w:val="0"/>
                                                                                                      <w:marRight w:val="0"/>
                                                                                                      <w:marTop w:val="0"/>
                                                                                                      <w:marBottom w:val="0"/>
                                                                                                      <w:divBdr>
                                                                                                        <w:top w:val="none" w:sz="0" w:space="0" w:color="auto"/>
                                                                                                        <w:left w:val="none" w:sz="0" w:space="0" w:color="auto"/>
                                                                                                        <w:bottom w:val="none" w:sz="0" w:space="0" w:color="auto"/>
                                                                                                        <w:right w:val="none" w:sz="0" w:space="0" w:color="auto"/>
                                                                                                      </w:divBdr>
                                                                                                      <w:divsChild>
                                                                                                        <w:div w:id="528105937">
                                                                                                          <w:marLeft w:val="0"/>
                                                                                                          <w:marRight w:val="0"/>
                                                                                                          <w:marTop w:val="0"/>
                                                                                                          <w:marBottom w:val="0"/>
                                                                                                          <w:divBdr>
                                                                                                            <w:top w:val="none" w:sz="0" w:space="0" w:color="auto"/>
                                                                                                            <w:left w:val="none" w:sz="0" w:space="0" w:color="auto"/>
                                                                                                            <w:bottom w:val="none" w:sz="0" w:space="0" w:color="auto"/>
                                                                                                            <w:right w:val="none" w:sz="0" w:space="0" w:color="auto"/>
                                                                                                          </w:divBdr>
                                                                                                        </w:div>
                                                                                                      </w:divsChild>
                                                                                                    </w:div>
                                                                                                    <w:div w:id="1010452333">
                                                                                                      <w:marLeft w:val="0"/>
                                                                                                      <w:marRight w:val="0"/>
                                                                                                      <w:marTop w:val="0"/>
                                                                                                      <w:marBottom w:val="0"/>
                                                                                                      <w:divBdr>
                                                                                                        <w:top w:val="none" w:sz="0" w:space="0" w:color="auto"/>
                                                                                                        <w:left w:val="none" w:sz="0" w:space="0" w:color="auto"/>
                                                                                                        <w:bottom w:val="none" w:sz="0" w:space="0" w:color="auto"/>
                                                                                                        <w:right w:val="none" w:sz="0" w:space="0" w:color="auto"/>
                                                                                                      </w:divBdr>
                                                                                                      <w:divsChild>
                                                                                                        <w:div w:id="10880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740374">
      <w:bodyDiv w:val="1"/>
      <w:marLeft w:val="0"/>
      <w:marRight w:val="0"/>
      <w:marTop w:val="0"/>
      <w:marBottom w:val="0"/>
      <w:divBdr>
        <w:top w:val="none" w:sz="0" w:space="0" w:color="auto"/>
        <w:left w:val="none" w:sz="0" w:space="0" w:color="auto"/>
        <w:bottom w:val="none" w:sz="0" w:space="0" w:color="auto"/>
        <w:right w:val="none" w:sz="0" w:space="0" w:color="auto"/>
      </w:divBdr>
    </w:div>
    <w:div w:id="1716540125">
      <w:bodyDiv w:val="1"/>
      <w:marLeft w:val="0"/>
      <w:marRight w:val="0"/>
      <w:marTop w:val="0"/>
      <w:marBottom w:val="0"/>
      <w:divBdr>
        <w:top w:val="none" w:sz="0" w:space="0" w:color="auto"/>
        <w:left w:val="none" w:sz="0" w:space="0" w:color="auto"/>
        <w:bottom w:val="none" w:sz="0" w:space="0" w:color="auto"/>
        <w:right w:val="none" w:sz="0" w:space="0" w:color="auto"/>
      </w:divBdr>
    </w:div>
    <w:div w:id="1766266153">
      <w:bodyDiv w:val="1"/>
      <w:marLeft w:val="0"/>
      <w:marRight w:val="0"/>
      <w:marTop w:val="0"/>
      <w:marBottom w:val="0"/>
      <w:divBdr>
        <w:top w:val="none" w:sz="0" w:space="0" w:color="auto"/>
        <w:left w:val="none" w:sz="0" w:space="0" w:color="auto"/>
        <w:bottom w:val="none" w:sz="0" w:space="0" w:color="auto"/>
        <w:right w:val="none" w:sz="0" w:space="0" w:color="auto"/>
      </w:divBdr>
    </w:div>
    <w:div w:id="20346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dmin-www.foodstandards.gov.au/code/changes/submission/Pages/default.aspx" TargetMode="External"/><Relationship Id="rId18" Type="http://schemas.openxmlformats.org/officeDocument/2006/relationships/hyperlink" Target="https://foodregulation.gov.au/internet/fr/publishing.nsf/Content/publication-Food-Safety-Management-Policy-Guideline-for-the-retail-and-food-service-secto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oodstandards.gov.au/foodsafety/standards/Pages/Safe-Food-Australia-%E2%80%93-A-guide-to-the-Food-Safety-Standard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odregulation.gov.au/internet/fr/publishing.nsf/Content/risk-profiling-fram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rints.qut.edu.au/74429/1/ACELG_Food-Safety_2014.pdf" TargetMode="External"/><Relationship Id="rId20" Type="http://schemas.openxmlformats.org/officeDocument/2006/relationships/hyperlink" Target="http://www.foodstandards.gov.au/foodsafety/standards/Pages/Safe-Food-Australia-%E2%80%93-A-guide-to-the-Food-Safety-Standard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health.gov.au/internet/main/publishing.nsf/Content/cda-pubs-annlrpt-ozfnetar.htm" TargetMode="External"/><Relationship Id="rId23" Type="http://schemas.openxmlformats.org/officeDocument/2006/relationships/hyperlink" Target="https://foodregulation.gov.au/internet/fr/publishing.nsf/Content/37F08208FAC6F504CA2582A40027AA90/$File/FRSC-RPF-ECE.docx" TargetMode="External"/><Relationship Id="rId10" Type="http://schemas.openxmlformats.org/officeDocument/2006/relationships/footnotes" Target="footnotes.xml"/><Relationship Id="rId19" Type="http://schemas.openxmlformats.org/officeDocument/2006/relationships/hyperlink" Target="https://www.foodstandards.gov.au/industry/safetystandards/programs/documents/Food_Safety_Management_in_Aust_Policy_Guidelin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bmissions@foodstandards.gov.au" TargetMode="External"/><Relationship Id="rId22" Type="http://schemas.openxmlformats.org/officeDocument/2006/relationships/hyperlink" Target="https://www1.health.gov.au/internet/main/publishing.nsf/Content/E829FA59A59677C0CA257D6A007D2C97/$File/Foodborne-Illness-Australia-circa-201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oodregulation.gov.au/internet/fr/publishing.nsf/Content/aus-foodborne-illness-reduction-strategy-2018-2021-Jun-2018" TargetMode="External"/><Relationship Id="rId2" Type="http://schemas.openxmlformats.org/officeDocument/2006/relationships/hyperlink" Target="file:///C:/Users/kolstl/AppData/Local/Microsoft/Windows/Forms/AllItems.aspx?RootFolder=/proposals/P1053/Shared%20Documents/Working%20folder/Discussion%20paper%20jan%202020&amp;FolderCTID=0x012000ECEBC2148C5B1547952B8AB1F5FE26FF&amp;View=%7bBAAAF22B-48E5-4468-A408-5982B0920ED4%7d" TargetMode="External"/><Relationship Id="rId1" Type="http://schemas.openxmlformats.org/officeDocument/2006/relationships/hyperlink" Target="https://www.abs.gov.au/ausstats/abs@.nsf/mf/6401.0" TargetMode="External"/><Relationship Id="rId6" Type="http://schemas.openxmlformats.org/officeDocument/2006/relationships/hyperlink" Target="http://www.foodstandards.gov.au/publications/Documents/Safe%20Food%20Australia/STANDARD%203.2.2%20Food%20Safety%20Practices%20and%20General%20Requirements.pdf" TargetMode="External"/><Relationship Id="rId5" Type="http://schemas.openxmlformats.org/officeDocument/2006/relationships/hyperlink" Target="http://www.foodstandards.gov.au/code/Pages/default.aspx" TargetMode="External"/><Relationship Id="rId4" Type="http://schemas.openxmlformats.org/officeDocument/2006/relationships/hyperlink" Target="https://foodregulation.gov.au/internet/fr/publishing.nsf/Content/forum-communique-2018-J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4269-92B7-4BA5-BC12-B95C20EF1C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3140A2-E723-4274-ABA1-21D6B4042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e2aec2-5ad0-4d76-aa7b-990c9a14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A519B-7B08-4838-846B-DDFE4487FAE4}">
  <ds:schemaRefs>
    <ds:schemaRef ds:uri="http://schemas.microsoft.com/sharepoint/v3/contenttype/forms"/>
  </ds:schemaRefs>
</ds:datastoreItem>
</file>

<file path=customXml/itemProps4.xml><?xml version="1.0" encoding="utf-8"?>
<ds:datastoreItem xmlns:ds="http://schemas.openxmlformats.org/officeDocument/2006/customXml" ds:itemID="{2A0F4D9D-E73C-4A42-8960-2D094ED2D72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F87837C-E21A-4748-8B89-5C7EAB0A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8832</Words>
  <Characters>50347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Kolstad</dc:creator>
  <cp:keywords/>
  <cp:lastModifiedBy>CoughC</cp:lastModifiedBy>
  <cp:revision>3</cp:revision>
  <cp:lastPrinted>2020-01-29T02:36:00Z</cp:lastPrinted>
  <dcterms:created xsi:type="dcterms:W3CDTF">2020-02-20T14:40:00Z</dcterms:created>
  <dcterms:modified xsi:type="dcterms:W3CDTF">2020-03-18T03:53:00Z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86;#Consultation|5bb37c2e-2dda-4d62-9d7b-3bcc883a50db</vt:lpwstr>
  </property>
  <property fmtid="{D5CDD505-2E9C-101B-9397-08002B2CF9AE}" pid="5" name="_dlc_DocIdItemGuid">
    <vt:lpwstr>e03e029f-0449-4b67-9662-348c3f70a08b</vt:lpwstr>
  </property>
  <property fmtid="{D5CDD505-2E9C-101B-9397-08002B2CF9AE}" pid="6" name="docIndexRef">
    <vt:lpwstr>a05f6deb-862d-482f-b06e-f138b7c881a1</vt:lpwstr>
  </property>
  <property fmtid="{D5CDD505-2E9C-101B-9397-08002B2CF9AE}" pid="7" name="bjSaver">
    <vt:lpwstr>JpFRbhVWjVfKd2Ps4oYaJTJRBE/PxYGN</vt:lpwstr>
  </property>
  <property fmtid="{D5CDD505-2E9C-101B-9397-08002B2CF9AE}" pid="8" name="RecordPoint_WorkflowType">
    <vt:lpwstr>ActiveSubmitStub</vt:lpwstr>
  </property>
  <property fmtid="{D5CDD505-2E9C-101B-9397-08002B2CF9AE}" pid="9" name="RecordPoint_ActiveItemUniqueId">
    <vt:lpwstr>{e03e029f-0449-4b67-9662-348c3f70a08b}</vt:lpwstr>
  </property>
  <property fmtid="{D5CDD505-2E9C-101B-9397-08002B2CF9AE}" pid="10" name="RecordPoint_ActiveItemWebId">
    <vt:lpwstr>{62f05e43-8b36-4cf6-8b6f-dd7a85ad736f}</vt:lpwstr>
  </property>
  <property fmtid="{D5CDD505-2E9C-101B-9397-08002B2CF9AE}" pid="11" name="RecordPoint_ActiveItemSiteId">
    <vt:lpwstr>{dd95a578-5c6a-4f11-92f7-f95884d628d6}</vt:lpwstr>
  </property>
  <property fmtid="{D5CDD505-2E9C-101B-9397-08002B2CF9AE}" pid="12" name="RecordPoint_ActiveItemListId">
    <vt:lpwstr>{866e080a-722d-4768-a259-fea73badf987}</vt:lpwstr>
  </property>
  <property fmtid="{D5CDD505-2E9C-101B-9397-08002B2CF9AE}" pid="13" name="RecordPoint_RecordNumberSubmitted">
    <vt:lpwstr>R0000119211</vt:lpwstr>
  </property>
  <property fmtid="{D5CDD505-2E9C-101B-9397-08002B2CF9AE}" pid="14" name="RecordPoint_SubmissionCompleted">
    <vt:lpwstr>2020-02-05T17:10:04.3812525+11:00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